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Fintech: arquitectura tecnológica, modelos analíticos y seguridad de los servicios financieros digitales</w:t>
      </w:r>
    </w:p>
    <w:p>
      <w:pPr/>
      <w:r>
        <w:t xml:space="preserve">Oct 16, 2026</w:t>
      </w:r>
      <w:r>
        <w:t xml:space="preserve"> · </w:t>
      </w:r>
      <w:r>
        <w:t xml:space="preserve">@hola</w:t>
      </w:r>
    </w:p>
    <w:p>
      <w:pPr>
        <w:pStyle w:val="Heading2"/>
      </w:pPr>
      <w:r>
        <w:t xml:space="preserve">Resumen</w:t>
      </w:r>
    </w:p>
    <w:p>
      <w:pPr/>
      <w:r>
        <w:t xml:space="preserve">El presente documento técnico analiza la tecnología financiera (Fintech) desde la perspectiva de la ingeniería de sistemas: su arquitectura de software, los protocolos de interoperabilidad, las tecnologías de registro distribuido, los modelos de aprendizaje automático aplicados al riesgo y al fraude, y los controles de seguridad y cumplimiento que exige el sector. Se adopta la definición de Fintech como la aplicación de tecnología para la prestación de soluciones financieras (Arner et al., 2016), y se organiza el análisis según la taxonomía de funciones financieras propuesta por Gomber et al. (2017). Se describe una arquitectura de referencia basada en microservicios, mensajería orientada a eventos y nube pública, y se formalizan los mecanismos técnicos centrales: consenso bizantino y prueba de trabajo, creadores de mercado automatizados de producto constante, regresión logística y gradient boosting para scoring crediticio, y técnicas de muestreo para clases desbalanceadas en detección de fraude. Finalmente, se discuten los riesgos de seguridad bajo el modelo de confianza cero (Rose et al., 2020) y las líneas de investigación abiertas en privacidad computacional y monedas digitales de banco central.</w:t>
      </w:r>
    </w:p>
    <w:p>
      <w:pPr/>
      <w:r>
        <w:rPr>
          <w:b/>
        </w:rPr>
        <w:t xml:space="preserve">Palabras clave:</w:t>
      </w:r>
      <w:r>
        <w:t xml:space="preserve"> Fintech, arquitectura de microservicios, Open Banking, blockchain, finanzas descentralizadas, credit scoring, detección de fraude, confianza cero.</w:t>
      </w:r>
    </w:p>
    <w:p>
      <w:pPr>
        <w:pStyle w:val="Heading2"/>
      </w:pPr>
      <w:r>
        <w:t xml:space="preserve">1. Introducción y delimitación conceptual</w:t>
      </w:r>
    </w:p>
    <w:p>
      <w:pPr/>
      <w:r>
        <w:t xml:space="preserve">Fintech designa el uso de tecnología digital para diseñar, producir y distribuir servicios financieros. Arner, Barberis y Buckley (2016) distinguen tres etapas: Fintech 1.0 (1866–1967), marcada por el cable transatlántico y la infraestructura analógica; Fintech 2.0 (1967–2008), dominada por la digitalización bancaria, el cajero automático, SWIFT y la banca por internet; y Fintech 3.0 (desde 2008), en la que nuevos entrantes no bancarios ofrecen servicios financieros directamente al usuario sobre plataformas móviles y en la nube.</w:t>
      </w:r>
    </w:p>
    <w:p>
      <w:pPr/>
      <w:r>
        <w:t xml:space="preserve">Desde el punto de vista técnico, la diferencia de Fintech 3.0 no es la digitalización en sí, sino el cambio de arquitectura. La banca tradicional opera sobre núcleos transaccionales monolíticos (core banking) procesados en lotes, mientras que las plataformas Fintech se construyen como sistemas distribuidos, desplegados de forma continua, expuestos mediante interfaces de programación (API) y alimentados por flujos de datos en tiempo real (Gomber et al., 2018). Puschmann (2017) caracteriza este cambio en tres dimensiones: el objeto de la innovación (producto, proceso, modelo de negocio), el grado de novedad (incremental o disruptivo) y el actor (incumbente o entrante).</w:t>
      </w:r>
    </w:p>
    <w:p>
      <w:pPr/>
      <w:r>
        <w:t xml:space="preserve">Philippon (2016) aporta el argumento económico que justifica el interés técnico: el costo unitario de la intermediación financiera en Estados Unidos se ha mantenido cercano al 2 % de los activos intermediados durante más de un siglo, pese a los avances de la informática. La hipótesis Fintech es que una arquitectura nativa digital puede reducir ese costo de forma estructural. Zetzsche et al. (2017) añaden la categoría TechFin para las grandes plataformas tecnológicas que incorporan servicios financieros a partir de su ventaja en datos, lo que traslada el centro de gravedad del capital hacia la información.</w:t>
      </w:r>
    </w:p>
    <w:p>
      <w:pPr/>
      <w:r>
        <w:t xml:space="preserve">El objetivo de este documento es describir, con fundamento en la literatura, los componentes técnicos de una plataforma Fintech y los métodos que la sustentan. El alcance excluye el análisis de mercado y la estrategia comercial.</w:t>
      </w:r>
    </w:p>
    <w:p>
      <w:pPr>
        <w:pStyle w:val="Heading2"/>
      </w:pPr>
      <w:r>
        <w:t xml:space="preserve">2. Taxonomía técnica de los servicios Fintech</w:t>
      </w:r>
    </w:p>
    <w:p>
      <w:pPr/>
      <w:r>
        <w:t xml:space="preserve">Gomber, Koch y Siering (2017) proponen el </w:t>
      </w:r>
      <w:r>
        <w:rPr>
          <w:i/>
        </w:rPr>
        <w:t xml:space="preserve">Digital Finance Cube</w:t>
      </w:r>
      <w:r>
        <w:t xml:space="preserve">, que clasifica cada solución según tres ejes: la función financiera que cumple, la tecnología que la habilita y la institución que la provee. La tabla siguiente aplica ese marco a los segmentos principales, indicando para cada uno la tecnología dominante y la restricción técnica que condiciona su diseño.</w:t>
      </w:r>
    </w:p>
    <w:tbl>
      <w:tblPr>
        <w:tblStyle w:val="TableGrid"/>
        <w:tblW w:w="0" w:type="auto"/>
        <w:tblLayout w:type="fixed"/>
        <w:tblLook w:val="04A0" w:firstRow="1" w:lastRow="0" w:firstColumn="0" w:lastColumn="0" w:noHBand="0" w:noVBand="1"/>
      </w:tblPr>
      <w:tblGrid>
        <w:gridCol w:w="1629"/>
        <w:gridCol w:w="1866"/>
        <w:gridCol w:w="3265"/>
        <w:gridCol w:w="2600"/>
      </w:tblGrid>
      <w:tr>
        <w:trPr>
          <w:tblHeader/>
        </w:trPr>
        <w:tc>
          <w:tcPr>
            <w:tcW w:w="1629" w:type="dxa"/>
            <w:shd w:val="clear" w:color="auto" w:fill="F2F2F2"/>
          </w:tcPr>
          <w:p>
            <w:pPr/>
            <w:r>
              <w:t xml:space="preserve">Segmento</w:t>
            </w:r>
          </w:p>
        </w:tc>
        <w:tc>
          <w:tcPr>
            <w:tcW w:w="1866" w:type="dxa"/>
            <w:shd w:val="clear" w:color="auto" w:fill="F2F2F2"/>
          </w:tcPr>
          <w:p>
            <w:pPr/>
            <w:r>
              <w:t xml:space="preserve">Función financiera</w:t>
            </w:r>
          </w:p>
        </w:tc>
        <w:tc>
          <w:tcPr>
            <w:tcW w:w="3265" w:type="dxa"/>
            <w:shd w:val="clear" w:color="auto" w:fill="F2F2F2"/>
          </w:tcPr>
          <w:p>
            <w:pPr/>
            <w:r>
              <w:t xml:space="preserve">Tecnologías habilitantes</w:t>
            </w:r>
          </w:p>
        </w:tc>
        <w:tc>
          <w:tcPr>
            <w:tcW w:w="2600" w:type="dxa"/>
            <w:shd w:val="clear" w:color="auto" w:fill="F2F2F2"/>
          </w:tcPr>
          <w:p>
            <w:pPr/>
            <w:r>
              <w:t xml:space="preserve">Restricción técnica crítica</w:t>
            </w:r>
          </w:p>
        </w:tc>
      </w:tr>
      <w:tr>
        <w:tc>
          <w:tcPr>
            <w:tcW w:w="1629" w:type="dxa"/>
          </w:tcPr>
          <w:p>
            <w:pPr/>
            <w:r>
              <w:t xml:space="preserve">Pagos y billeteras digitales</w:t>
            </w:r>
          </w:p>
        </w:tc>
        <w:tc>
          <w:tcPr>
            <w:tcW w:w="1866" w:type="dxa"/>
          </w:tcPr>
          <w:p>
            <w:pPr/>
            <w:r>
              <w:t xml:space="preserve">Transferencia de valor</w:t>
            </w:r>
          </w:p>
        </w:tc>
        <w:tc>
          <w:tcPr>
            <w:tcW w:w="3265" w:type="dxa"/>
          </w:tcPr>
          <w:p>
            <w:pPr/>
            <w:r>
              <w:t xml:space="preserve">API REST, tokenización, QR, mensajería ISO 20022</w:t>
            </w:r>
          </w:p>
        </w:tc>
        <w:tc>
          <w:tcPr>
            <w:tcW w:w="2600" w:type="dxa"/>
          </w:tcPr>
          <w:p>
            <w:pPr/>
            <w:r>
              <w:t xml:space="preserve">Latencia &lt; 1 s y disponibilidad ≥ 99,95 %</w:t>
            </w:r>
          </w:p>
        </w:tc>
      </w:tr>
      <w:tr>
        <w:tc>
          <w:tcPr>
            <w:tcW w:w="1629" w:type="dxa"/>
          </w:tcPr>
          <w:p>
            <w:pPr/>
            <w:r>
              <w:t xml:space="preserve">Préstamos digitales (lending)</w:t>
            </w:r>
          </w:p>
        </w:tc>
        <w:tc>
          <w:tcPr>
            <w:tcW w:w="1866" w:type="dxa"/>
          </w:tcPr>
          <w:p>
            <w:pPr/>
            <w:r>
              <w:t xml:space="preserve">Financiamiento</w:t>
            </w:r>
          </w:p>
        </w:tc>
        <w:tc>
          <w:tcPr>
            <w:tcW w:w="3265" w:type="dxa"/>
          </w:tcPr>
          <w:p>
            <w:pPr/>
            <w:r>
              <w:t xml:space="preserve">Aprendizaje automático, datos alternativos, motores de reglas</w:t>
            </w:r>
          </w:p>
        </w:tc>
        <w:tc>
          <w:tcPr>
            <w:tcW w:w="2600" w:type="dxa"/>
          </w:tcPr>
          <w:p>
            <w:pPr/>
            <w:r>
              <w:t xml:space="preserve">Explicabilidad del modelo y sesgo</w:t>
            </w:r>
          </w:p>
        </w:tc>
      </w:tr>
      <w:tr>
        <w:tc>
          <w:tcPr>
            <w:tcW w:w="1629" w:type="dxa"/>
          </w:tcPr>
          <w:p>
            <w:pPr/>
            <w:r>
              <w:t xml:space="preserve">Neobancos</w:t>
            </w:r>
          </w:p>
        </w:tc>
        <w:tc>
          <w:tcPr>
            <w:tcW w:w="1866" w:type="dxa"/>
          </w:tcPr>
          <w:p>
            <w:pPr/>
            <w:r>
              <w:t xml:space="preserve">Depósito y cuenta</w:t>
            </w:r>
          </w:p>
        </w:tc>
        <w:tc>
          <w:tcPr>
            <w:tcW w:w="3265" w:type="dxa"/>
          </w:tcPr>
          <w:p>
            <w:pPr/>
            <w:r>
              <w:t xml:space="preserve">Core bancario en la nube, microservicios</w:t>
            </w:r>
          </w:p>
        </w:tc>
        <w:tc>
          <w:tcPr>
            <w:tcW w:w="2600" w:type="dxa"/>
          </w:tcPr>
          <w:p>
            <w:pPr/>
            <w:r>
              <w:t xml:space="preserve">Consistencia transaccional (ACID)</w:t>
            </w:r>
          </w:p>
        </w:tc>
      </w:tr>
      <w:tr>
        <w:tc>
          <w:tcPr>
            <w:tcW w:w="1629" w:type="dxa"/>
          </w:tcPr>
          <w:p>
            <w:pPr/>
            <w:r>
              <w:t xml:space="preserve">Inversión automatizada (robo-advisors)</w:t>
            </w:r>
          </w:p>
        </w:tc>
        <w:tc>
          <w:tcPr>
            <w:tcW w:w="1866" w:type="dxa"/>
          </w:tcPr>
          <w:p>
            <w:pPr/>
            <w:r>
              <w:t xml:space="preserve">Gestión de activos</w:t>
            </w:r>
          </w:p>
        </w:tc>
        <w:tc>
          <w:tcPr>
            <w:tcW w:w="3265" w:type="dxa"/>
          </w:tcPr>
          <w:p>
            <w:pPr/>
            <w:r>
              <w:t xml:space="preserve">Optimización de carteras, APIs de mercado</w:t>
            </w:r>
          </w:p>
        </w:tc>
        <w:tc>
          <w:tcPr>
            <w:tcW w:w="2600" w:type="dxa"/>
          </w:tcPr>
          <w:p>
            <w:pPr/>
            <w:r>
              <w:t xml:space="preserve">Exactitud numérica y auditoría</w:t>
            </w:r>
          </w:p>
        </w:tc>
      </w:tr>
      <w:tr>
        <w:tc>
          <w:tcPr>
            <w:tcW w:w="1629" w:type="dxa"/>
          </w:tcPr>
          <w:p>
            <w:pPr/>
            <w:r>
              <w:t xml:space="preserve">Insurtech</w:t>
            </w:r>
          </w:p>
        </w:tc>
        <w:tc>
          <w:tcPr>
            <w:tcW w:w="1866" w:type="dxa"/>
          </w:tcPr>
          <w:p>
            <w:pPr/>
            <w:r>
              <w:t xml:space="preserve">Seguros</w:t>
            </w:r>
          </w:p>
        </w:tc>
        <w:tc>
          <w:tcPr>
            <w:tcW w:w="3265" w:type="dxa"/>
          </w:tcPr>
          <w:p>
            <w:pPr/>
            <w:r>
              <w:t xml:space="preserve">IoT, telemetría, modelos actuariales</w:t>
            </w:r>
          </w:p>
        </w:tc>
        <w:tc>
          <w:tcPr>
            <w:tcW w:w="2600" w:type="dxa"/>
          </w:tcPr>
          <w:p>
            <w:pPr/>
            <w:r>
              <w:t xml:space="preserve">Calidad de datos de sensores</w:t>
            </w:r>
          </w:p>
        </w:tc>
      </w:tr>
      <w:tr>
        <w:tc>
          <w:tcPr>
            <w:tcW w:w="1629" w:type="dxa"/>
          </w:tcPr>
          <w:p>
            <w:pPr/>
            <w:r>
              <w:t xml:space="preserve">Criptoactivos y DeFi</w:t>
            </w:r>
          </w:p>
        </w:tc>
        <w:tc>
          <w:tcPr>
            <w:tcW w:w="1866" w:type="dxa"/>
          </w:tcPr>
          <w:p>
            <w:pPr/>
            <w:r>
              <w:t xml:space="preserve">Intercambio y custodia</w:t>
            </w:r>
          </w:p>
        </w:tc>
        <w:tc>
          <w:tcPr>
            <w:tcW w:w="3265" w:type="dxa"/>
          </w:tcPr>
          <w:p>
            <w:pPr/>
            <w:r>
              <w:t xml:space="preserve">Blockchain, contratos inteligentes</w:t>
            </w:r>
          </w:p>
        </w:tc>
        <w:tc>
          <w:tcPr>
            <w:tcW w:w="2600" w:type="dxa"/>
          </w:tcPr>
          <w:p>
            <w:pPr/>
            <w:r>
              <w:t xml:space="preserve">Inmutabilidad del código y seguridad</w:t>
            </w:r>
          </w:p>
        </w:tc>
      </w:tr>
      <w:tr>
        <w:tc>
          <w:tcPr>
            <w:tcW w:w="1629" w:type="dxa"/>
          </w:tcPr>
          <w:p>
            <w:pPr/>
            <w:r>
              <w:t xml:space="preserve">Regtech</w:t>
            </w:r>
          </w:p>
        </w:tc>
        <w:tc>
          <w:tcPr>
            <w:tcW w:w="1866" w:type="dxa"/>
          </w:tcPr>
          <w:p>
            <w:pPr/>
            <w:r>
              <w:t xml:space="preserve">Cumplimiento</w:t>
            </w:r>
          </w:p>
        </w:tc>
        <w:tc>
          <w:tcPr>
            <w:tcW w:w="3265" w:type="dxa"/>
          </w:tcPr>
          <w:p>
            <w:pPr/>
            <w:r>
              <w:t xml:space="preserve">Procesamiento de lenguaje natural, grafos, KYC/AML</w:t>
            </w:r>
          </w:p>
        </w:tc>
        <w:tc>
          <w:tcPr>
            <w:tcW w:w="2600" w:type="dxa"/>
          </w:tcPr>
          <w:p>
            <w:pPr/>
            <w:r>
              <w:t xml:space="preserve">Trazabilidad y retención de evidencia</w:t>
            </w:r>
          </w:p>
        </w:tc>
      </w:tr>
    </w:tbl>
    <w:p>
      <w:pPr/>
      <w:r>
        <w:t xml:space="preserve">Dos rasgos técnicos atraviesan todos los segmentos. El primero es la desagregación (</w:t>
      </w:r>
      <w:r>
        <w:rPr>
          <w:i/>
        </w:rPr>
        <w:t xml:space="preserve">unbundling</w:t>
      </w:r>
      <w:r>
        <w:t xml:space="preserve">): cada función que antes residía en el core bancario se convierte en un servicio independiente, expuesto por API y combinable con servicios de terceros. El segundo es la centralidad del dato: Thakor (2020) señala que la ventaja competitiva de los entrantes reside en el procesamiento de información no convencional para evaluar riesgo, más que en la captación de depósitos.</w:t>
      </w:r>
    </w:p>
    <w:p>
      <w:pPr>
        <w:pStyle w:val="Heading2"/>
      </w:pPr>
      <w:r>
        <w:t xml:space="preserve">3. Arquitectura de referencia</w:t>
      </w:r>
    </w:p>
    <w:p>
      <w:pPr/>
      <w:r>
        <w:t xml:space="preserve">Una plataforma Fintech se organiza en capas desacopladas: canales, borde (API gateway), servicios de dominio, un bus de eventos y una capa de datos especializada por tipo de carga. El diagrama de esta sección resume la arquitectura y los flujos entre capas.</w:t>
      </w:r>
    </w:p>
    <w:p>
      <w:pPr/>
      <w:r>
        <w:drawing>
          <wp:inline distT="0" distB="0" distL="0" distR="0">
            <wp:extent cx="5486400" cy="4212771"/>
            <wp:docPr id="1" name="image1" descr="Figura 1. Arquitectura de referencia de una plataforma Fintech · 5 capas"/>
            <a:graphic xmlns:a="http://schemas.openxmlformats.org/drawingml/2006/main">
              <a:graphicData uri="http://schemas.openxmlformats.org/drawingml/2006/picture">
                <pic:pic xmlns:pic="http://schemas.openxmlformats.org/drawingml/2006/picture">
                  <pic:nvPicPr>
                    <pic:cNvPr id="1" name="image1" descr="Figura 1. Arquitectura de referencia de una plataforma Fintech · 5 capas"/>
                    <pic:cNvPicPr/>
                  </pic:nvPicPr>
                  <pic:blipFill>
                    <a:blip r:embed="rId3"/>
                    <a:stretch>
                      <a:fillRect/>
                    </a:stretch>
                  </pic:blipFill>
                  <pic:spPr>
                    <a:xfrm>
                      <a:off x="0" y="0"/>
                      <a:ext cx="5486400" cy="4212771"/>
                    </a:xfrm>
                    <a:prstGeom prst="rect">
                      <a:avLst/>
                    </a:prstGeom>
                  </pic:spPr>
                </pic:pic>
              </a:graphicData>
            </a:graphic>
          </wp:inline>
        </w:drawing>
      </w:r>
    </w:p>
    <w:p>
      <w:pPr/>
      <w:r>
        <w:t xml:space="preserve">Figura 1. Arquitectura de referencia de una plataforma Fintech · 5 capas</w:t>
      </w:r>
    </w:p>
    <w:p>
      <w:pPr/>
      <w:r>
        <w:t xml:space="preserve">Las solicitudes entran solo por el API gateway; los servicios de dominio no se llaman en cadena para cada operación, sino que publican y consumen eventos del bus, del que se derivan las vistas de datos (Kleppmann, 2017; Newman, 2021).</w:t>
      </w:r>
    </w:p>
    <w:p>
      <w:pPr>
        <w:pStyle w:val="Heading3"/>
      </w:pPr>
      <w:r>
        <w:t xml:space="preserve">3.1 Microservicios y diseño orientado al dominio</w:t>
      </w:r>
    </w:p>
    <w:p>
      <w:pPr/>
      <w:r>
        <w:t xml:space="preserve">La arquitectura de microservicios descompone la aplicación en servicios pequeños, desplegables de forma independiente y organizados alrededor de capacidades de negocio (Newman, 2021). En un contexto financiero, los límites de cada servicio se trazan según contextos delimitados: cuentas, libro mayor, pagos, crédito, identidad, antifraude y notificaciones. Cada servicio posee su propia base de datos, lo que elimina el acoplamiento por esquema compartido pero introduce el problema de la consistencia entre servicios.</w:t>
      </w:r>
    </w:p>
    <w:p>
      <w:pPr>
        <w:pStyle w:val="Heading3"/>
      </w:pPr>
      <w:r>
        <w:t xml:space="preserve">3.2 Consistencia distribuida: sagas y libro mayor de doble entrada</w:t>
      </w:r>
    </w:p>
    <w:p>
      <w:pPr/>
      <w:r>
        <w:t xml:space="preserve">Una transferencia que afecta a dos servicios no puede usar una transacción ACID única. El patrón saga, formulado por Garcia-Molina y Salem (1987), divide la operación en una secuencia de transacciones locales T1…Tn, cada una con una acción compensatoria C1…Cn que se ejecuta en orden inverso si un paso falla. Richardson (2018) distingue sagas coreografiadas (cada servicio reacciona a eventos) y orquestadas (un coordinador central dirige los pasos); en pagos se prefiere la orquestación por su trazabilidad.</w:t>
      </w:r>
    </w:p>
    <w:p>
      <w:pPr/>
      <w:r>
        <w:t xml:space="preserve">El núcleo contable se implementa como libro mayor de doble entrada inmutable: cada movimiento genera asientos de débito y crédito cuya suma es cero, y el saldo se deriva, no se almacena como valor mutable. Esta propiedad se expresa como invariante:</w:t>
      </w:r>
    </w:p>
    <w:p>
      <w:pPr>
        <w:pStyle w:val="Code"/>
      </w:pPr>
      <w:bookmarkStart w:id="1" w:name="bongo_lang_latex_1"/>
      <w:bookmarkEnd w:id="1"/>
      <w:r>
        <w:t xml:space="preserve">\sum_{i=1}^{n} d_i - \sum_{j=1}^{m} c_j = 0 \quad \forall \text{ transacción}</w:t>
      </w:r>
    </w:p>
    <w:p>
      <w:pPr/>
      <w:r>
        <w:t xml:space="preserve">Para garantizar que un reintento de red no duplique un cargo, toda operación de escritura expuesta por API exige una clave de idempotencia; el servidor almacena el resultado asociado a la clave y devuelve la misma respuesta ante solicitudes repetidas.</w:t>
      </w:r>
    </w:p>
    <w:p>
      <w:pPr>
        <w:pStyle w:val="Heading3"/>
      </w:pPr>
      <w:r>
        <w:t xml:space="preserve">3.3 Arquitectura orientada a eventos</w:t>
      </w:r>
    </w:p>
    <w:p>
      <w:pPr/>
      <w:r>
        <w:t xml:space="preserve">El bus de eventos desacopla productores y consumidores. Apache Kafka, descrito por Kreps, Narkhede y Rao (2011), implementa un registro (</w:t>
      </w:r>
      <w:r>
        <w:rPr>
          <w:i/>
        </w:rPr>
        <w:t xml:space="preserve">log</w:t>
      </w:r>
      <w:r>
        <w:t xml:space="preserve">) particionado, replicado y ordenado por partición, que permite reprocesar el historial y alimentar en paralelo el antifraude, la contabilidad y la analítica. Kleppmann (2017) formaliza el principio subyacente: el registro de eventos es la fuente de verdad y las bases de datos son vistas materializadas derivadas de él (</w:t>
      </w:r>
      <w:r>
        <w:rPr>
          <w:i/>
        </w:rPr>
        <w:t xml:space="preserve">event sourcing</w:t>
      </w:r>
      <w:r>
        <w:t xml:space="preserve"> y CQRS). El patrón </w:t>
      </w:r>
      <w:r>
        <w:rPr>
          <w:i/>
        </w:rPr>
        <w:t xml:space="preserve">transactional outbox</w:t>
      </w:r>
      <w:r>
        <w:t xml:space="preserve"> asegura que la escritura en base de datos y la publicación del evento ocurran de forma atómica.</w:t>
      </w:r>
    </w:p>
    <w:p>
      <w:pPr>
        <w:pStyle w:val="Heading3"/>
      </w:pPr>
      <w:r>
        <w:t xml:space="preserve">3.4 Infraestructura en la nube</w:t>
      </w:r>
    </w:p>
    <w:p>
      <w:pPr/>
      <w:r>
        <w:t xml:space="preserve">La nube, definida por Mell y Grance (2011) mediante cinco características esenciales (autoservicio bajo demanda, acceso amplio a la red, agrupación de recursos, elasticidad rápida y servicio medido), permite escalar horizontalmente los servicios de pagos en picos de demanda. Los contenedores orquestados con Kubernetes, la infraestructura como código y los pipelines de integración y despliegue continuos (CI/CD) son la práctica estándar. Las restricciones regulatorias de residencia de datos y de continuidad operativa obligan a despliegues multizona con objetivos explícitos de punto de recuperación (RPO) y tiempo de recuperación (RTO).</w:t>
      </w:r>
    </w:p>
    <w:p>
      <w:pPr>
        <w:pStyle w:val="Heading2"/>
      </w:pPr>
      <w:r>
        <w:t xml:space="preserve">4. Pagos digitales, Open Banking y APIs</w:t>
      </w:r>
    </w:p>
    <w:p>
      <w:pPr/>
      <w:r>
        <w:t xml:space="preserve">Los pagos son el segmento de mayor volumen transaccional y el que impone los requisitos más estrictos de latencia y disponibilidad. Su arquitectura combina un esquema de mensajería estandarizado, un mecanismo de compensación y liquidación, y una capa de seguridad sobre los datos de tarjeta.</w:t>
      </w:r>
    </w:p>
    <w:p>
      <w:pPr>
        <w:pStyle w:val="Heading3"/>
      </w:pPr>
      <w:r>
        <w:t xml:space="preserve">4.1 Flujo de un pago con tarjeta</w:t>
      </w:r>
    </w:p>
    <w:p>
      <w:pPr/>
      <w:r>
        <w:t xml:space="preserve">Un pago con tarjeta involucra cinco actores: titular, comercio, adquirente, red de tarjetas y emisor. La autorización viaja en tiempo real (comercio → adquirente → red → emisor) y devuelve una aprobación o rechazo en cientos de milisegundos; la compensación y la liquidación de fondos ocurren después, normalmente en lotes diarios. El estándar PCI DSS v4.0 (PCI Security Standards Council, 2022) define doce requisitos agrupados en seis objetivos para proteger los datos del titular; la técnica que más reduce el alcance de cumplimiento es la tokenización, que sustituye el número de tarjeta (PAN) por un identificador sin valor fuera del sistema que lo emitió.</w:t>
      </w:r>
    </w:p>
    <w:p>
      <w:pPr>
        <w:pStyle w:val="Heading3"/>
      </w:pPr>
      <w:r>
        <w:t xml:space="preserve">4.2 Pagos inmediatos e ISO 20022</w:t>
      </w:r>
    </w:p>
    <w:p>
      <w:pPr/>
      <w:r>
        <w:t xml:space="preserve">Los sistemas de pagos inmediatos liquidan transferencias interbancarias en segundos, las 24 horas. Su mensajería converge hacia ISO 20022 (International Organization for Standardization, 2013), que define mensajes en XML con semántica de negocio explícita (por ejemplo, </w:t>
      </w:r>
      <w:r>
        <w:rPr>
          <w:rStyle w:val="CodeChar"/>
        </w:rPr>
        <w:t xml:space="preserve">pacs.008</w:t>
      </w:r>
      <w:r>
        <w:t xml:space="preserve"> para transferencias de crédito entre entidades y </w:t>
      </w:r>
      <w:r>
        <w:rPr>
          <w:rStyle w:val="CodeChar"/>
        </w:rPr>
        <w:t xml:space="preserve">pain.001</w:t>
      </w:r>
      <w:r>
        <w:t xml:space="preserve"> para iniciación de pagos por el cliente). Frente a los formatos heredados de longitud fija, ISO 20022 transporta datos estructurados del ordenante y beneficiario, lo que mejora el filtrado antilavado y la conciliación automática.</w:t>
      </w:r>
    </w:p>
    <w:p>
      <w:pPr>
        <w:pStyle w:val="Heading3"/>
      </w:pPr>
      <w:r>
        <w:t xml:space="preserve">4.3 Open Banking y seguridad de APIs</w:t>
      </w:r>
    </w:p>
    <w:p>
      <w:pPr/>
      <w:r>
        <w:t xml:space="preserve">Open Banking obliga o incentiva a los bancos a exponer, con consentimiento del cliente, datos de cuentas e iniciación de pagos a terceros autorizados. La Directiva (UE) 2015/2366 (PSD2) estableció dos roles técnicos: el proveedor de servicios de información sobre cuentas (AISP) y el proveedor de servicios de iniciación de pagos (PISP), junto con la autenticación reforzada del cliente (SCA), que exige dos factores independientes entre conocimiento, posesión e inherencia.</w:t>
      </w:r>
    </w:p>
    <w:p>
      <w:pPr/>
      <w:r>
        <w:t xml:space="preserve">La autorización delegada se implementa con OAuth 2.0 (Hardt, 2012): el cliente obtiene un token de acceso de alcance limitado sin compartir sus credenciales con el tercero. Para el sector financiero, el perfil FAPI de la OpenID Foundation endurece OAuth 2.0 con autenticación mutua TLS (mTLS), tokens ligados al certificado del cliente, objetos de solicitud firmados y PKCE, a fin de mitigar el robo y la reutilización de tokens.</w:t>
      </w:r>
    </w:p>
    <w:p>
      <w:pPr>
        <w:pStyle w:val="Heading3"/>
      </w:pPr>
      <w:r>
        <w:t xml:space="preserve">4.4 Dinero electrónico e interoperabilidad</w:t>
      </w:r>
    </w:p>
    <w:p>
      <w:pPr/>
      <w:r>
        <w:t xml:space="preserve">En el Perú, la Ley N.º 29985 (2013) regula el dinero electrónico y las empresas emisoras bajo supervisión de la Superintendencia de Banca, Seguros y AFP (SBS). Las billeteras móviles operan como sistemas de libro mayor cerrado que, mediante la interoperabilidad promovida por el Banco Central de Reserva del Perú, se conectan entre sí a través de directorios de alias (número de celular) y esquemas de compensación compartidos. Técnicamente, la interoperabilidad exige un directorio de resolución de alias, un formato de mensaje común y un mecanismo de liquidación entre participantes.</w:t>
      </w:r>
    </w:p>
    <w:p>
      <w:pPr>
        <w:pStyle w:val="Heading2"/>
      </w:pPr>
      <w:r>
        <w:t xml:space="preserve">5. Blockchain, contratos inteligentes y finanzas descentralizadas</w:t>
      </w:r>
    </w:p>
    <w:p>
      <w:pPr/>
      <w:r>
        <w:t xml:space="preserve">Una blockchain es un libro mayor replicado entre nodos que no confían entre sí, donde cada bloque contiene el hash criptográfico del anterior, de modo que alterar un registro histórico exige recalcular toda la cadena posterior (Nakamoto, 2008). Zheng et al. (2018) identifican como propiedades técnicas la descentralización, la persistencia, el anonimato (o seudonimato) y la auditabilidad.</w:t>
      </w:r>
    </w:p>
    <w:p>
      <w:pPr>
        <w:pStyle w:val="Heading3"/>
      </w:pPr>
      <w:r>
        <w:t xml:space="preserve">5.1 Mecanismos de consenso</w:t>
      </w:r>
    </w:p>
    <w:p>
      <w:pPr/>
      <w:r>
        <w:t xml:space="preserve">El problema de fondo es el de los generales bizantinos (Lamport et al., 1982): alcanzar acuerdo cuando hasta f nodos pueden comportarse de forma arbitraria. Un sistema con n réplicas tolera f fallos bizantinos solo si se cumple:</w:t>
      </w:r>
    </w:p>
    <w:p>
      <w:pPr>
        <w:pStyle w:val="Code"/>
      </w:pPr>
      <w:bookmarkStart w:id="2" w:name="bongo_lang_latex_2"/>
      <w:bookmarkEnd w:id="2"/>
      <w:r>
        <w:t xml:space="preserve">n \geq 3f + 1</w:t>
      </w:r>
    </w:p>
    <w:p>
      <w:pPr/>
      <w:r>
        <w:t xml:space="preserve">PBFT (Castro y Liskov, 1999) alcanza ese límite con finalidad determinista en tres fases de mensajes (</w:t>
      </w:r>
      <w:r>
        <w:rPr>
          <w:i/>
        </w:rPr>
        <w:t xml:space="preserve">pre-prepare</w:t>
      </w:r>
      <w:r>
        <w:t xml:space="preserve">, </w:t>
      </w:r>
      <w:r>
        <w:rPr>
          <w:i/>
        </w:rPr>
        <w:t xml:space="preserve">prepare</w:t>
      </w:r>
      <w:r>
        <w:t xml:space="preserve">, </w:t>
      </w:r>
      <w:r>
        <w:rPr>
          <w:i/>
        </w:rPr>
        <w:t xml:space="preserve">commit</w:t>
      </w:r>
      <w:r>
        <w:t xml:space="preserve">), pero su complejidad de comunicación O(n²) lo restringe a redes permisionadas de decenas de nodos, como las de consorcios bancarios. La prueba de trabajo (</w:t>
      </w:r>
      <w:r>
        <w:rPr>
          <w:i/>
        </w:rPr>
        <w:t xml:space="preserve">proof of work</w:t>
      </w:r>
      <w:r>
        <w:t xml:space="preserve">) de Nakamoto sustituye la votación por un gasto computacional: un minero debe encontrar un nonce tal que el hash del encabezado sea menor que un objetivo T, lo que vuelve costoso reescribir la historia y ofrece finalidad probabilística. La prueba de participación (</w:t>
      </w:r>
      <w:r>
        <w:rPr>
          <w:i/>
        </w:rPr>
        <w:t xml:space="preserve">proof of stake</w:t>
      </w:r>
      <w:r>
        <w:t xml:space="preserve">) reemplaza el gasto energético por capital bloqueado como garantía, sujeto a penalización si el validador actúa de forma maliciosa.</w:t>
      </w:r>
    </w:p>
    <w:p>
      <w:pPr>
        <w:pStyle w:val="Heading3"/>
      </w:pPr>
      <w:r>
        <w:t xml:space="preserve">5.2 Contratos inteligentes</w:t>
      </w:r>
    </w:p>
    <w:p>
      <w:pPr/>
      <w:r>
        <w:t xml:space="preserve">Ethereum (Buterin, 2014) generalizó la blockchain como máquina de estados replicada que ejecuta programas Turing-completos en una máquina virtual determinista (EVM), con un costo de ejecución medido en </w:t>
      </w:r>
      <w:r>
        <w:rPr>
          <w:i/>
        </w:rPr>
        <w:t xml:space="preserve">gas</w:t>
      </w:r>
      <w:r>
        <w:t xml:space="preserve"> para evitar bucles infinitos. Un contrato inteligente es código desplegado en la cadena cuyo estado solo cambia mediante transacciones firmadas. Su inmutabilidad es a la vez la garantía y el riesgo principal: un error de código no se corrige con un parche, y vulnerabilidades como la reentrada, el desbordamiento aritmético o la manipulación de oráculos de precios han causado pérdidas significativas.</w:t>
      </w:r>
    </w:p>
    <w:p>
      <w:pPr>
        <w:pStyle w:val="Heading3"/>
      </w:pPr>
      <w:r>
        <w:t xml:space="preserve">5.3 Finanzas descentralizadas (DeFi)</w:t>
      </w:r>
    </w:p>
    <w:p>
      <w:pPr/>
      <w:r>
        <w:t xml:space="preserve">Schär (2021) describe DeFi como una arquitectura en capas: liquidación (la blockchain), activos (tokens), protocolos (intercambio, préstamo, derivados), aplicaciones y agregadores. Werner et al. (2022) sistematizan sus primitivas y riesgos. El componente más característico es el creador de mercado automatizado (AMM), que reemplaza el libro de órdenes por un fondo de liquidez gobernado por una función. En el modelo de producto constante, con reservas x e y de dos activos:</w:t>
      </w:r>
    </w:p>
    <w:p>
      <w:pPr>
        <w:pStyle w:val="Code"/>
      </w:pPr>
      <w:bookmarkStart w:id="3" w:name="bongo_lang_latex_3"/>
      <w:bookmarkEnd w:id="3"/>
      <w:r>
        <w:t xml:space="preserve">x \cdot y = k</w:t>
      </w:r>
    </w:p>
    <w:p>
      <w:pPr/>
      <w:r>
        <w:t xml:space="preserve">Un intercambio de Δx unidades del primer activo entrega Δy = y·Δx / (x + Δx) del segundo (antes de comisiones), de forma que el precio se ajusta automáticamente según la proporción de reservas. Adams et al. (2021) extienden el modelo con liquidez concentrada en rangos de precio, lo que aumenta la eficiencia del capital. Los préstamos DeFi, por su parte, operan con sobrecolateralización y liquidación automática cuando el valor del colateral cae por debajo de un umbral.</w:t>
      </w:r>
    </w:p>
    <w:p>
      <w:pPr>
        <w:pStyle w:val="Heading3"/>
      </w:pPr>
      <w:r>
        <w:t xml:space="preserve">5.4 Monedas digitales de banco central</w:t>
      </w:r>
    </w:p>
    <w:p>
      <w:pPr/>
      <w:r>
        <w:t xml:space="preserve">Auer y Böhme (2020) analizan las decisiones de diseño de una moneda digital de banco central (CBDC) minorista: arquitectura directa, híbrida o intermediada; registro basado en cuentas o en tokens; e infraestructura centralizada o distribuida. La elección determina quién mantiene el registro de saldos, cómo se preserva la privacidad y qué capacidad de procesamiento se requiere.</w:t>
      </w:r>
    </w:p>
    <w:p>
      <w:pPr>
        <w:pStyle w:val="Heading2"/>
      </w:pPr>
      <w:r>
        <w:t xml:space="preserve">6. Inteligencia artificial: scoring crediticio y detección de fraude</w:t>
      </w:r>
    </w:p>
    <w:p>
      <w:pPr/>
      <w:r>
        <w:t xml:space="preserve">El aprendizaje automático es la tecnología con mayor impacto medible en Fintech, porque convierte datos transaccionales y alternativos en decisiones de riesgo automáticas. Dos problemas concentran su uso: estimar la probabilidad de incumplimiento de un solicitante y detectar transacciones fraudulentas en tiempo real.</w:t>
      </w:r>
    </w:p>
    <w:p>
      <w:pPr>
        <w:pStyle w:val="Heading3"/>
      </w:pPr>
      <w:r>
        <w:t xml:space="preserve">6.1 Scoring crediticio</w:t>
      </w:r>
    </w:p>
    <w:p>
      <w:pPr/>
      <w:r>
        <w:t xml:space="preserve">El modelo de referencia es la regresión logística, que estima la probabilidad de incumplimiento (PD) como función de un vector de características x:</w:t>
      </w:r>
    </w:p>
    <w:p>
      <w:pPr>
        <w:pStyle w:val="Code"/>
      </w:pPr>
      <w:bookmarkStart w:id="4" w:name="bongo_lang_latex_4"/>
      <w:bookmarkEnd w:id="4"/>
      <w:r>
        <w:t xml:space="preserve">PD(x) = P(y=1 \mid x) = \frac{1}{1 + e^{-(\beta_0 + \beta^{\top} x)}}</w:t>
      </w:r>
    </w:p>
    <w:p>
      <w:pPr/>
      <w:r>
        <w:t xml:space="preserve">Su ventaja es la interpretabilidad: cada coeficiente se traduce en puntos de una tarjeta de puntuación. Khandani, Kim y Lo (2010) mostraron que modelos no lineales entrenados sobre transacciones y datos de buró mejoran la predicción de morosidad de consumo respecto de los modelos tradicionales. Lessmann et al. (2015), al comparar 41 clasificadores sobre ocho conjuntos de datos de crédito, encontraron que los métodos de ensamble heterogéneo y los bosques aleatorios superan de forma consistente a la regresión logística. En la práctica actual dominan los árboles con </w:t>
      </w:r>
      <w:r>
        <w:rPr>
          <w:i/>
        </w:rPr>
        <w:t xml:space="preserve">gradient boosting</w:t>
      </w:r>
      <w:r>
        <w:t xml:space="preserve">, como XGBoost (Chen y Guestrin, 2016), que minimiza una función objetivo regularizada:</w:t>
      </w:r>
    </w:p>
    <w:p>
      <w:pPr>
        <w:pStyle w:val="Code"/>
      </w:pPr>
      <w:bookmarkStart w:id="5" w:name="bongo_lang_latex_5"/>
      <w:bookmarkEnd w:id="5"/>
      <w:r>
        <w:t xml:space="preserve">\mathcal{L} = \sum_{i} l(y_i, \hat{y}_i) + \sum_{k} \left( \gamma T_k + \tfrac{1}{2} \lambda \lVert w_k \rVert^2 \right)</w:t>
      </w:r>
    </w:p>
    <w:p>
      <w:pPr/>
      <w:r>
        <w:t xml:space="preserve">donde T_k es el número de hojas del árbol k y w_k sus pesos.</w:t>
      </w:r>
    </w:p>
    <w:p>
      <w:pPr/>
      <w:r>
        <w:t xml:space="preserve">Los datos alternativos amplían la cobertura a personas sin historial crediticio. Berg et al. (2020) demostraron que variables de huella digital (tipo de dispositivo, sistema operativo, proveedor de correo, hora de compra) tienen un poder predictivo comparable al del puntaje de buró y complementario a él. Fuster et al. (2019) documentaron que los prestamistas hipotecarios con procesos tecnológicos procesan solicitudes alrededor de un 20 % más rápido sin mayores tasas de incumplimiento.</w:t>
      </w:r>
    </w:p>
    <w:p>
      <w:pPr/>
      <w:r>
        <w:t xml:space="preserve">La métrica de evaluación estándar es el área bajo la curva ROC (AUC) y su transformación lineal, el coeficiente de Gini (Gini = 2·AUC − 1), complementadas con el estadístico de Kolmogórov-Smirnov y el índice de estabilidad poblacional (PSI) para monitorear la deriva de datos en producción. Dado que la regulación exige explicar las decisiones adversas, los modelos de caja negra se acompañan de métodos de atribución como SHAP (Lundberg y Lee, 2017), que asigna a cada variable su contribución a la predicción según los valores de Shapley.</w:t>
      </w:r>
    </w:p>
    <w:p>
      <w:pPr>
        <w:pStyle w:val="Heading3"/>
      </w:pPr>
      <w:r>
        <w:t xml:space="preserve">6.2 Detección de fraude</w:t>
      </w:r>
    </w:p>
    <w:p>
      <w:pPr/>
      <w:r>
        <w:t xml:space="preserve">Bolton y Hand (2002) caracterizan la detección de fraude como un problema de clasificación con tres dificultades: clases extremadamente desbalanceadas (el fraude suele representar menos del 0,5 % de las transacciones), etiquetas tardías e incompletas, y un adversario que adapta su comportamiento. Dal Pozzolo et al. (2015) analizan el efecto del submuestreo de la clase mayoritaria sobre la calibración de las probabilidades y proponen corregirla mediante la transformación:</w:t>
      </w:r>
    </w:p>
    <w:p>
      <w:pPr>
        <w:pStyle w:val="Code"/>
      </w:pPr>
      <w:bookmarkStart w:id="6" w:name="bongo_lang_latex_6"/>
      <w:bookmarkEnd w:id="6"/>
      <w:r>
        <w:t xml:space="preserve">p = \frac{\beta p_s}{\beta p_s - p_s + 1}</w:t>
      </w:r>
    </w:p>
    <w:p>
      <w:pPr/>
      <w:r>
        <w:t xml:space="preserve">donde p_s es la probabilidad estimada sobre la muestra submuestreada y β la tasa de submuestreo. Como alternativa, SMOTE (Chawla et al., 2002) genera ejemplos sintéticos de la clase minoritaria por interpolación entre vecinos cercanos.</w:t>
      </w:r>
    </w:p>
    <w:p>
      <w:pPr/>
      <w:r>
        <w:t xml:space="preserve">Un motor antifraude en producción combina tres capas: reglas deterministas (listas negras, límites de velocidad de transacciones), un modelo supervisado que puntúa cada transacción en menos de 100 ms y modelos no supervisados o de grafos que detectan anillos de cuentas relacionadas. Las características más informativas son agregados en ventanas temporales (número y monto de operaciones por tarjeta en la última hora, distancia al comercio habitual), calculados en tiempo real sobre el flujo de eventos descrito en la sección 3.3. Como en este problema el costo del error no es simétrico, la evaluación usa precisión y exhaustividad (</w:t>
      </w:r>
      <w:r>
        <w:rPr>
          <w:i/>
        </w:rPr>
        <w:t xml:space="preserve">recall</w:t>
      </w:r>
      <w:r>
        <w:t xml:space="preserve">) o el área bajo la curva precisión-exhaustividad, no la exactitud global.</w:t>
      </w:r>
    </w:p>
    <w:p>
      <w:pPr>
        <w:pStyle w:val="Heading2"/>
      </w:pPr>
      <w:r>
        <w:t xml:space="preserve">7. Seguridad, privacidad y cumplimiento normativo</w:t>
      </w:r>
    </w:p>
    <w:p>
      <w:pPr/>
      <w:r>
        <w:t xml:space="preserve">Una plataforma Fintech expone superficies de ataque mayores que un banco tradicional: APIs públicas, aplicaciones móviles, dependencias de código abierto y proveedores de nube. Por ello la seguridad no se agrega al final, sino que se diseña como propiedad de la arquitectura.</w:t>
      </w:r>
    </w:p>
    <w:p>
      <w:pPr>
        <w:pStyle w:val="Heading3"/>
      </w:pPr>
      <w:r>
        <w:t xml:space="preserve">7.1 Arquitectura de confianza cero</w:t>
      </w:r>
    </w:p>
    <w:p>
      <w:pPr/>
      <w:r>
        <w:t xml:space="preserve">El NIST SP 800-207 (Rose et al., 2020) define la confianza cero como un modelo en el que ninguna solicitud se considera confiable por su ubicación en la red; cada acceso a un recurso se autentica, autoriza y cifra de forma individual. Sus componentes lógicos son el motor de políticas (PE), el administrador de políticas (PA) y el punto de aplicación de políticas (PEP). En una plataforma de microservicios se implementa mediante mTLS entre servicios (por ejemplo, a través de una malla de servicios), identidades de carga de trabajo de corta duración y autorización basada en atributos.</w:t>
      </w:r>
    </w:p>
    <w:p>
      <w:pPr>
        <w:pStyle w:val="Heading3"/>
      </w:pPr>
      <w:r>
        <w:t xml:space="preserve">7.2 Controles técnicos esenciales</w:t>
      </w:r>
    </w:p>
    <w:tbl>
      <w:tblPr>
        <w:tblStyle w:val="TableGrid"/>
        <w:tblW w:w="0" w:type="auto"/>
        <w:tblLayout w:type="fixed"/>
        <w:tblLook w:val="04A0" w:firstRow="1" w:lastRow="0" w:firstColumn="0" w:lastColumn="0" w:noHBand="0" w:noVBand="1"/>
      </w:tblPr>
      <w:tblGrid>
        <w:gridCol w:w="2862"/>
        <w:gridCol w:w="3554"/>
        <w:gridCol w:w="2944"/>
      </w:tblGrid>
      <w:tr>
        <w:trPr>
          <w:tblHeader/>
        </w:trPr>
        <w:tc>
          <w:tcPr>
            <w:tcW w:w="2862" w:type="dxa"/>
            <w:shd w:val="clear" w:color="auto" w:fill="F2F2F2"/>
          </w:tcPr>
          <w:p>
            <w:pPr/>
            <w:r>
              <w:t xml:space="preserve">Control</w:t>
            </w:r>
          </w:p>
        </w:tc>
        <w:tc>
          <w:tcPr>
            <w:tcW w:w="3554" w:type="dxa"/>
            <w:shd w:val="clear" w:color="auto" w:fill="F2F2F2"/>
          </w:tcPr>
          <w:p>
            <w:pPr/>
            <w:r>
              <w:t xml:space="preserve">Técnica</w:t>
            </w:r>
          </w:p>
        </w:tc>
        <w:tc>
          <w:tcPr>
            <w:tcW w:w="2944" w:type="dxa"/>
            <w:shd w:val="clear" w:color="auto" w:fill="F2F2F2"/>
          </w:tcPr>
          <w:p>
            <w:pPr/>
            <w:r>
              <w:t xml:space="preserve">Amenaza mitigada</w:t>
            </w:r>
          </w:p>
        </w:tc>
      </w:tr>
      <w:tr>
        <w:tc>
          <w:tcPr>
            <w:tcW w:w="2862" w:type="dxa"/>
          </w:tcPr>
          <w:p>
            <w:pPr/>
            <w:r>
              <w:t xml:space="preserve">Cifrado en tránsito</w:t>
            </w:r>
          </w:p>
        </w:tc>
        <w:tc>
          <w:tcPr>
            <w:tcW w:w="3554" w:type="dxa"/>
          </w:tcPr>
          <w:p>
            <w:pPr/>
            <w:r>
              <w:t xml:space="preserve">TLS 1.3, mTLS entre servicios</w:t>
            </w:r>
          </w:p>
        </w:tc>
        <w:tc>
          <w:tcPr>
            <w:tcW w:w="2944" w:type="dxa"/>
          </w:tcPr>
          <w:p>
            <w:pPr/>
            <w:r>
              <w:t xml:space="preserve">Interceptación y suplantación</w:t>
            </w:r>
          </w:p>
        </w:tc>
      </w:tr>
      <w:tr>
        <w:tc>
          <w:tcPr>
            <w:tcW w:w="2862" w:type="dxa"/>
          </w:tcPr>
          <w:p>
            <w:pPr/>
            <w:r>
              <w:t xml:space="preserve">Cifrado en reposo</w:t>
            </w:r>
          </w:p>
        </w:tc>
        <w:tc>
          <w:tcPr>
            <w:tcW w:w="3554" w:type="dxa"/>
          </w:tcPr>
          <w:p>
            <w:pPr/>
            <w:r>
              <w:t xml:space="preserve">AES-256 con claves en HSM o KMS</w:t>
            </w:r>
          </w:p>
        </w:tc>
        <w:tc>
          <w:tcPr>
            <w:tcW w:w="2944" w:type="dxa"/>
          </w:tcPr>
          <w:p>
            <w:pPr/>
            <w:r>
              <w:t xml:space="preserve">Robo de medios y respaldos</w:t>
            </w:r>
          </w:p>
        </w:tc>
      </w:tr>
      <w:tr>
        <w:tc>
          <w:tcPr>
            <w:tcW w:w="2862" w:type="dxa"/>
          </w:tcPr>
          <w:p>
            <w:pPr/>
            <w:r>
              <w:t xml:space="preserve">Gestión de secretos</w:t>
            </w:r>
          </w:p>
        </w:tc>
        <w:tc>
          <w:tcPr>
            <w:tcW w:w="3554" w:type="dxa"/>
          </w:tcPr>
          <w:p>
            <w:pPr/>
            <w:r>
              <w:t xml:space="preserve">Bóveda de secretos con rotación automática</w:t>
            </w:r>
          </w:p>
        </w:tc>
        <w:tc>
          <w:tcPr>
            <w:tcW w:w="2944" w:type="dxa"/>
          </w:tcPr>
          <w:p>
            <w:pPr/>
            <w:r>
              <w:t xml:space="preserve">Credenciales filtradas en código</w:t>
            </w:r>
          </w:p>
        </w:tc>
      </w:tr>
      <w:tr>
        <w:tc>
          <w:tcPr>
            <w:tcW w:w="2862" w:type="dxa"/>
          </w:tcPr>
          <w:p>
            <w:pPr/>
            <w:r>
              <w:t xml:space="preserve">Tokenización</w:t>
            </w:r>
          </w:p>
        </w:tc>
        <w:tc>
          <w:tcPr>
            <w:tcW w:w="3554" w:type="dxa"/>
          </w:tcPr>
          <w:p>
            <w:pPr/>
            <w:r>
              <w:t xml:space="preserve">Sustitución del PAN por token</w:t>
            </w:r>
          </w:p>
        </w:tc>
        <w:tc>
          <w:tcPr>
            <w:tcW w:w="2944" w:type="dxa"/>
          </w:tcPr>
          <w:p>
            <w:pPr/>
            <w:r>
              <w:t xml:space="preserve">Exposición de datos de tarjeta</w:t>
            </w:r>
          </w:p>
        </w:tc>
      </w:tr>
      <w:tr>
        <w:tc>
          <w:tcPr>
            <w:tcW w:w="2862" w:type="dxa"/>
          </w:tcPr>
          <w:p>
            <w:pPr/>
            <w:r>
              <w:t xml:space="preserve">Autenticación del cliente</w:t>
            </w:r>
          </w:p>
        </w:tc>
        <w:tc>
          <w:tcPr>
            <w:tcW w:w="3554" w:type="dxa"/>
          </w:tcPr>
          <w:p>
            <w:pPr/>
            <w:r>
              <w:t xml:space="preserve">SCA con dos factores, FIDO2</w:t>
            </w:r>
          </w:p>
        </w:tc>
        <w:tc>
          <w:tcPr>
            <w:tcW w:w="2944" w:type="dxa"/>
          </w:tcPr>
          <w:p>
            <w:pPr/>
            <w:r>
              <w:t xml:space="preserve">Toma de cuentas</w:t>
            </w:r>
          </w:p>
        </w:tc>
      </w:tr>
      <w:tr>
        <w:tc>
          <w:tcPr>
            <w:tcW w:w="2862" w:type="dxa"/>
          </w:tcPr>
          <w:p>
            <w:pPr/>
            <w:r>
              <w:t xml:space="preserve">Seguridad de API</w:t>
            </w:r>
          </w:p>
        </w:tc>
        <w:tc>
          <w:tcPr>
            <w:tcW w:w="3554" w:type="dxa"/>
          </w:tcPr>
          <w:p>
            <w:pPr/>
            <w:r>
              <w:t xml:space="preserve">OAuth 2.0 + FAPI, limitación de tasa</w:t>
            </w:r>
          </w:p>
        </w:tc>
        <w:tc>
          <w:tcPr>
            <w:tcW w:w="2944" w:type="dxa"/>
          </w:tcPr>
          <w:p>
            <w:pPr/>
            <w:r>
              <w:t xml:space="preserve">Abuso de API y robo de tokens</w:t>
            </w:r>
          </w:p>
        </w:tc>
      </w:tr>
      <w:tr>
        <w:tc>
          <w:tcPr>
            <w:tcW w:w="2862" w:type="dxa"/>
          </w:tcPr>
          <w:p>
            <w:pPr/>
            <w:r>
              <w:t xml:space="preserve">Integridad del registro</w:t>
            </w:r>
          </w:p>
        </w:tc>
        <w:tc>
          <w:tcPr>
            <w:tcW w:w="3554" w:type="dxa"/>
          </w:tcPr>
          <w:p>
            <w:pPr/>
            <w:r>
              <w:t xml:space="preserve">Logs inmutables con sellado de tiempo</w:t>
            </w:r>
          </w:p>
        </w:tc>
        <w:tc>
          <w:tcPr>
            <w:tcW w:w="2944" w:type="dxa"/>
          </w:tcPr>
          <w:p>
            <w:pPr/>
            <w:r>
              <w:t xml:space="preserve">Alteración de evidencia</w:t>
            </w:r>
          </w:p>
        </w:tc>
      </w:tr>
    </w:tbl>
    <w:p>
      <w:pPr>
        <w:pStyle w:val="Heading3"/>
      </w:pPr>
      <w:r>
        <w:t xml:space="preserve">7.3 Privacidad computacional</w:t>
      </w:r>
    </w:p>
    <w:p>
      <w:pPr/>
      <w:r>
        <w:t xml:space="preserve">Las técnicas de preservación de la privacidad permiten analizar datos sensibles sin exponerlos. La privacidad diferencial (Dwork y Roth, 2014) garantiza que el resultado de una consulta cambie de forma acotada al añadir o quitar a un individuo; un mecanismo M es ε-diferencialmente privado si, para todo par de conjuntos vecinos D y D′ y todo resultado S:</w:t>
      </w:r>
    </w:p>
    <w:p>
      <w:pPr>
        <w:pStyle w:val="Code"/>
      </w:pPr>
      <w:bookmarkStart w:id="7" w:name="bongo_lang_latex_7"/>
      <w:bookmarkEnd w:id="7"/>
      <w:r>
        <w:t xml:space="preserve">P[M(D) \in S] \leq e^{\varepsilon} \, P[M(D') \in S]</w:t>
      </w:r>
    </w:p>
    <w:p>
      <w:pPr/>
      <w:r>
        <w:t xml:space="preserve">El aprendizaje federado (McMahan et al., 2017) entrena un modelo global agregando actualizaciones de modelos locales, sin centralizar los datos; esto permite, por ejemplo, que varias entidades entrenen un modelo antifraude conjunto sin compartir transacciones de sus clientes.</w:t>
      </w:r>
    </w:p>
    <w:p>
      <w:pPr>
        <w:pStyle w:val="Heading3"/>
      </w:pPr>
      <w:r>
        <w:t xml:space="preserve">7.4 Cumplimiento: KYC, AML y protección de datos</w:t>
      </w:r>
    </w:p>
    <w:p>
      <w:pPr/>
      <w:r>
        <w:t xml:space="preserve">Los procesos de conocimiento del cliente (KYC) y de prevención del lavado de activos (AML) se automatizan con verificación biométrica de identidad, cotejo contra listas de sanciones y monitoreo transaccional basado en reglas y grafos. En el Perú, la Ley N.º 29733, Ley de Protección de Datos Personales, establece principios de consentimiento, finalidad y seguridad que condicionan el uso de datos alternativos en modelos de riesgo. Zetzsche et al. (2017) proponen el enfoque de regulación inteligente y los </w:t>
      </w:r>
      <w:r>
        <w:rPr>
          <w:i/>
        </w:rPr>
        <w:t xml:space="preserve">sandboxes</w:t>
      </w:r>
      <w:r>
        <w:t xml:space="preserve"> regulatorios como mecanismo para probar productos bajo supervisión antes de su despliegue general.</w:t>
      </w:r>
    </w:p>
    <w:p>
      <w:pPr>
        <w:pStyle w:val="Heading2"/>
      </w:pPr>
      <w:r>
        <w:t xml:space="preserve">8. Desafíos técnicos y líneas futuras</w:t>
      </w:r>
    </w:p>
    <w:p>
      <w:pPr/>
      <w:r>
        <w:t xml:space="preserve">Los problemas abiertos de la ingeniería Fintech se concentran en cinco frentes:</w:t>
      </w:r>
    </w:p>
    <w:p>
      <w:pPr>
        <w:pStyle w:val="ListParagraph"/>
        <w:numPr>
          <w:ilvl w:val="0"/>
          <w:numId w:val="2"/>
        </w:numPr>
      </w:pPr>
      <w:r>
        <w:rPr>
          <w:b/>
        </w:rPr>
        <w:t xml:space="preserve">Integración con sistemas heredados.</w:t>
      </w:r>
      <w:r>
        <w:t xml:space="preserve"> La mayoría de entidades incumbentes mantiene núcleos transaccionales en mainframe. La migración se aborda con el patrón de estrangulamiento (</w:t>
      </w:r>
      <w:r>
        <w:rPr>
          <w:i/>
        </w:rPr>
        <w:t xml:space="preserve">strangler fig</w:t>
      </w:r>
      <w:r>
        <w:t xml:space="preserve">): nuevas funciones se construyen como servicios externos y el tráfico se desvía de forma gradual, mientras la captura de cambios de datos (CDC) replica el estado del núcleo hacia el bus de eventos.</w:t>
      </w:r>
    </w:p>
    <w:p>
      <w:pPr>
        <w:pStyle w:val="ListParagraph"/>
        <w:numPr>
          <w:ilvl w:val="0"/>
          <w:numId w:val="2"/>
        </w:numPr>
      </w:pPr>
      <w:r>
        <w:rPr>
          <w:b/>
        </w:rPr>
        <w:t xml:space="preserve">Escalabilidad de blockchain.</w:t>
      </w:r>
      <w:r>
        <w:t xml:space="preserve"> Las redes públicas enfrentan el compromiso entre descentralización, seguridad y escalabilidad. Las soluciones de capa 2, como los </w:t>
      </w:r>
      <w:r>
        <w:rPr>
          <w:i/>
        </w:rPr>
        <w:t xml:space="preserve">rollups</w:t>
      </w:r>
      <w:r>
        <w:t xml:space="preserve"> optimistas y los de conocimiento cero, ejecutan transacciones fuera de la cadena principal y publican en ella pruebas comprimidas de su validez.</w:t>
      </w:r>
    </w:p>
    <w:p>
      <w:pPr>
        <w:pStyle w:val="ListParagraph"/>
        <w:numPr>
          <w:ilvl w:val="0"/>
          <w:numId w:val="2"/>
        </w:numPr>
      </w:pPr>
      <w:r>
        <w:rPr>
          <w:b/>
        </w:rPr>
        <w:t xml:space="preserve">Equidad y explicabilidad algorítmica.</w:t>
      </w:r>
      <w:r>
        <w:t xml:space="preserve"> Los modelos de crédito entrenados con datos históricos pueden reproducir sesgos. Su control exige métricas de equidad (paridad demográfica, igualdad de oportunidades), auditoría de variables sustitutas de atributos protegidos y explicaciones locales por solicitante.</w:t>
      </w:r>
    </w:p>
    <w:p>
      <w:pPr>
        <w:pStyle w:val="ListParagraph"/>
        <w:numPr>
          <w:ilvl w:val="0"/>
          <w:numId w:val="2"/>
        </w:numPr>
      </w:pPr>
      <w:r>
        <w:rPr>
          <w:b/>
        </w:rPr>
        <w:t xml:space="preserve">Computación sobre datos cifrados.</w:t>
      </w:r>
      <w:r>
        <w:t xml:space="preserve"> El cifrado totalmente homomórfico (Gentry, 2009) permite operar sobre datos cifrados sin descifrarlos. Su costo computacional aún limita su uso a casos específicos, pero abre la posibilidad de puntuar riesgo sin acceder a datos en claro.</w:t>
      </w:r>
    </w:p>
    <w:p>
      <w:pPr>
        <w:pStyle w:val="ListParagraph"/>
        <w:numPr>
          <w:ilvl w:val="0"/>
          <w:numId w:val="2"/>
        </w:numPr>
      </w:pPr>
      <w:r>
        <w:rPr>
          <w:b/>
        </w:rPr>
        <w:t xml:space="preserve">Criptografía poscuántica.</w:t>
      </w:r>
      <w:r>
        <w:t xml:space="preserve"> Los esquemas de firma basados en curvas elípticas, que protegen tanto la banca en línea como las blockchains, son vulnerables a un computador cuántico suficientemente grande. La migración a los algoritmos estandarizados por el NIST en 2024 (FIPS 203, 204 y 205) requiere inventariar y reemplazar las primitivas criptográficas en toda la pila tecnológica.</w:t>
      </w:r>
    </w:p>
    <w:p>
      <w:pPr>
        <w:pStyle w:val="Heading2"/>
      </w:pPr>
      <w:r>
        <w:t xml:space="preserve">9. Conclusiones</w:t>
      </w:r>
    </w:p>
    <w:p>
      <w:pPr/>
      <w:r>
        <w:t xml:space="preserve">Primero, la innovación Fintech es ante todo una innovación de arquitectura: la sustitución del núcleo monolítico por servicios desacoplados, comunicados mediante eventos y expuestos por API, es lo que permite reducir el costo marginal de la intermediación que Philippon (2016) identificó como estancado.</w:t>
      </w:r>
    </w:p>
    <w:p>
      <w:pPr/>
      <w:r>
        <w:t xml:space="preserve">Segundo, la corrección financiera en sistemas distribuidos depende de patrones bien fundamentados (sagas, libro mayor de doble entrada inmutable, idempotencia y </w:t>
      </w:r>
      <w:r>
        <w:rPr>
          <w:i/>
        </w:rPr>
        <w:t xml:space="preserve">outbox</w:t>
      </w:r>
      <w:r>
        <w:t xml:space="preserve"> transaccional) más que de transacciones distribuidas clásicas.</w:t>
      </w:r>
    </w:p>
    <w:p>
      <w:pPr/>
      <w:r>
        <w:t xml:space="preserve">Tercero, el aprendizaje automático aporta mejoras medibles en scoring y fraude (Khandani et al., 2010; Lessmann et al., 2015; Berg et al., 2020), pero su adopción está condicionada por la calibración, la explicabilidad y la equidad.</w:t>
      </w:r>
    </w:p>
    <w:p>
      <w:pPr/>
      <w:r>
        <w:t xml:space="preserve">Cuarto, blockchain y DeFi ofrecen primitivas financieras programables con garantías formales de consenso, aunque trasladan el riesgo desde el intermediario hacia la corrección del código.</w:t>
      </w:r>
    </w:p>
    <w:p>
      <w:pPr/>
      <w:r>
        <w:t xml:space="preserve">Quinto, la seguridad bajo confianza cero y la privacidad computacional son condiciones de diseño, no complementos. La siguiente frontera técnica estará en la migración poscuántica y en la computación sobre datos cifrados.</w:t>
      </w:r>
    </w:p>
    <w:p>
      <w:pPr>
        <w:pStyle w:val="Heading2"/>
      </w:pPr>
      <w:r>
        <w:t xml:space="preserve">Referencias</w:t>
      </w:r>
    </w:p>
    <w:p>
      <w:pPr/>
      <w:r>
        <w:t xml:space="preserve">Adams, H., Zinsmeister, N., Salem, M., Keefer, R., &amp; Robinson, D. (2021). </w:t>
      </w:r>
      <w:r>
        <w:rPr>
          <w:i/>
        </w:rPr>
        <w:t xml:space="preserve">Uniswap v3 core</w:t>
      </w:r>
      <w:r>
        <w:t xml:space="preserve"> [Libro blanco técnico]. Uniswap Labs.</w:t>
      </w:r>
    </w:p>
    <w:p>
      <w:pPr/>
      <w:r>
        <w:t xml:space="preserve">Arner, D. W., Barberis, J., &amp; Buckley, R. P. (2016). The evolution of Fintech: A new post-crisis paradigm? </w:t>
      </w:r>
      <w:r>
        <w:rPr>
          <w:i/>
        </w:rPr>
        <w:t xml:space="preserve">Georgetown Journal of International Law, 47</w:t>
      </w:r>
      <w:r>
        <w:t xml:space="preserve">(4), 1271–1319.</w:t>
      </w:r>
    </w:p>
    <w:p>
      <w:pPr/>
      <w:r>
        <w:t xml:space="preserve">Auer, R., &amp; Böhme, R. (2020). The technology of retail central bank digital currency. </w:t>
      </w:r>
      <w:r>
        <w:rPr>
          <w:i/>
        </w:rPr>
        <w:t xml:space="preserve">BIS Quarterly Review</w:t>
      </w:r>
      <w:r>
        <w:t xml:space="preserve">, marzo, 85–100.</w:t>
      </w:r>
    </w:p>
    <w:p>
      <w:pPr/>
      <w:r>
        <w:t xml:space="preserve">Berg, T., Burg, V., Gombović, A., &amp; Puri, M. (2020). On the rise of FinTechs: Credit scoring using digital footprints. </w:t>
      </w:r>
      <w:r>
        <w:rPr>
          <w:i/>
        </w:rPr>
        <w:t xml:space="preserve">The Review of Financial Studies, 33</w:t>
      </w:r>
      <w:r>
        <w:t xml:space="preserve">(7), 2845–2897. https://doi.org/10.1093/rfs/hhz099</w:t>
      </w:r>
    </w:p>
    <w:p>
      <w:pPr/>
      <w:r>
        <w:t xml:space="preserve">Bolton, R. J., &amp; Hand, D. J. (2002). Statistical fraud detection: A review. </w:t>
      </w:r>
      <w:r>
        <w:rPr>
          <w:i/>
        </w:rPr>
        <w:t xml:space="preserve">Statistical Science, 17</w:t>
      </w:r>
      <w:r>
        <w:t xml:space="preserve">(3), 235–255.</w:t>
      </w:r>
    </w:p>
    <w:p>
      <w:pPr/>
      <w:r>
        <w:t xml:space="preserve">Buterin, V. (2014). </w:t>
      </w:r>
      <w:r>
        <w:rPr>
          <w:i/>
        </w:rPr>
        <w:t xml:space="preserve">A next-generation smart contract and decentralized application platform</w:t>
      </w:r>
      <w:r>
        <w:t xml:space="preserve"> [Libro blanco de Ethereum].</w:t>
      </w:r>
    </w:p>
    <w:p>
      <w:pPr/>
      <w:r>
        <w:t xml:space="preserve">Castro, M., &amp; Liskov, B. (1999). Practical Byzantine fault tolerance. En </w:t>
      </w:r>
      <w:r>
        <w:rPr>
          <w:i/>
        </w:rPr>
        <w:t xml:space="preserve">Proceedings of the Third Symposium on Operating Systems Design and Implementation (OSDI)</w:t>
      </w:r>
      <w:r>
        <w:t xml:space="preserve"> (pp. 173–186). USENIX.</w:t>
      </w:r>
    </w:p>
    <w:p>
      <w:pPr/>
      <w:r>
        <w:t xml:space="preserve">Chawla, N. V., Bowyer, K. W., Hall, L. O., &amp; Kegelmeyer, W. P. (2002). SMOTE: Synthetic minority over-sampling technique. </w:t>
      </w:r>
      <w:r>
        <w:rPr>
          <w:i/>
        </w:rPr>
        <w:t xml:space="preserve">Journal of Artificial Intelligence Research, 16</w:t>
      </w:r>
      <w:r>
        <w:t xml:space="preserve">, 321–357.</w:t>
      </w:r>
    </w:p>
    <w:p>
      <w:pPr/>
      <w:r>
        <w:t xml:space="preserve">Chen, T., &amp; Guestrin, C. (2016). XGBoost: A scalable tree boosting system. En </w:t>
      </w:r>
      <w:r>
        <w:rPr>
          <w:i/>
        </w:rPr>
        <w:t xml:space="preserve">Proceedings of the 22nd ACM SIGKDD International Conference on Knowledge Discovery and Data Mining</w:t>
      </w:r>
      <w:r>
        <w:t xml:space="preserve"> (pp. 785–794). https://doi.org/10.1145/2939672.2939785</w:t>
      </w:r>
    </w:p>
    <w:p>
      <w:pPr/>
      <w:r>
        <w:t xml:space="preserve">Dal Pozzolo, A., Caelen, O., Johnson, R. A., &amp; Bontempi, G. (2015). Calibrating probability with undersampling for unbalanced classification. En </w:t>
      </w:r>
      <w:r>
        <w:rPr>
          <w:i/>
        </w:rPr>
        <w:t xml:space="preserve">2015 IEEE Symposium Series on Computational Intelligence</w:t>
      </w:r>
      <w:r>
        <w:t xml:space="preserve"> (pp. 159–166). IEEE.</w:t>
      </w:r>
    </w:p>
    <w:p>
      <w:pPr/>
      <w:r>
        <w:t xml:space="preserve">Directiva (UE) 2015/2366 del Parlamento Europeo y del Consejo, de 25 de noviembre de 2015, sobre servicios de pago en el mercado interior. </w:t>
      </w:r>
      <w:r>
        <w:rPr>
          <w:i/>
        </w:rPr>
        <w:t xml:space="preserve">Diario Oficial de la Unión Europea</w:t>
      </w:r>
      <w:r>
        <w:t xml:space="preserve">, L 337, 35–127.</w:t>
      </w:r>
    </w:p>
    <w:p>
      <w:pPr/>
      <w:r>
        <w:t xml:space="preserve">Dwork, C., &amp; Roth, A. (2014). The algorithmic foundations of differential privacy. </w:t>
      </w:r>
      <w:r>
        <w:rPr>
          <w:i/>
        </w:rPr>
        <w:t xml:space="preserve">Foundations and Trends in Theoretical Computer Science, 9</w:t>
      </w:r>
      <w:r>
        <w:t xml:space="preserve">(3–4), 211–407.</w:t>
      </w:r>
    </w:p>
    <w:p>
      <w:pPr/>
      <w:r>
        <w:t xml:space="preserve">Fuster, A., Plosser, M., Schnabl, P., &amp; Vickery, J. (2019). The role of technology in mortgage lending. </w:t>
      </w:r>
      <w:r>
        <w:rPr>
          <w:i/>
        </w:rPr>
        <w:t xml:space="preserve">The Review of Financial Studies, 32</w:t>
      </w:r>
      <w:r>
        <w:t xml:space="preserve">(5), 1854–1899.</w:t>
      </w:r>
    </w:p>
    <w:p>
      <w:pPr/>
      <w:r>
        <w:t xml:space="preserve">Garcia-Molina, H., &amp; Salem, K. (1987). Sagas. </w:t>
      </w:r>
      <w:r>
        <w:rPr>
          <w:i/>
        </w:rPr>
        <w:t xml:space="preserve">ACM SIGMOD Record, 16</w:t>
      </w:r>
      <w:r>
        <w:t xml:space="preserve">(3), 249–259.</w:t>
      </w:r>
    </w:p>
    <w:p>
      <w:pPr/>
      <w:r>
        <w:t xml:space="preserve">Gentry, C. (2009). Fully homomorphic encryption using ideal lattices. En </w:t>
      </w:r>
      <w:r>
        <w:rPr>
          <w:i/>
        </w:rPr>
        <w:t xml:space="preserve">Proceedings of the 41st Annual ACM Symposium on Theory of Computing</w:t>
      </w:r>
      <w:r>
        <w:t xml:space="preserve"> (pp. 169–178).</w:t>
      </w:r>
    </w:p>
    <w:p>
      <w:pPr/>
      <w:r>
        <w:t xml:space="preserve">Gomber, P., Kauffman, R. J., Parker, C., &amp; Weber, B. W. (2018). On the Fintech revolution: Interpreting the forces of innovation, disruption, and transformation in financial services. </w:t>
      </w:r>
      <w:r>
        <w:rPr>
          <w:i/>
        </w:rPr>
        <w:t xml:space="preserve">Journal of Management Information Systems, 35</w:t>
      </w:r>
      <w:r>
        <w:t xml:space="preserve">(1), 220–265.</w:t>
      </w:r>
    </w:p>
    <w:p>
      <w:pPr/>
      <w:r>
        <w:t xml:space="preserve">Gomber, P., Koch, J.-A., &amp; Siering, M. (2017). Digital finance and FinTech: Current research and future research directions. </w:t>
      </w:r>
      <w:r>
        <w:rPr>
          <w:i/>
        </w:rPr>
        <w:t xml:space="preserve">Journal of Business Economics, 87</w:t>
      </w:r>
      <w:r>
        <w:t xml:space="preserve">(5), 537–580.</w:t>
      </w:r>
    </w:p>
    <w:p>
      <w:pPr/>
      <w:r>
        <w:t xml:space="preserve">Hardt, D. (Ed.). (2012). </w:t>
      </w:r>
      <w:r>
        <w:rPr>
          <w:i/>
        </w:rPr>
        <w:t xml:space="preserve">The OAuth 2.0 authorization framework</w:t>
      </w:r>
      <w:r>
        <w:t xml:space="preserve"> (RFC 6749). Internet Engineering Task Force.</w:t>
      </w:r>
    </w:p>
    <w:p>
      <w:pPr/>
      <w:r>
        <w:t xml:space="preserve">International Organization for Standardization. (2013). </w:t>
      </w:r>
      <w:r>
        <w:rPr>
          <w:i/>
        </w:rPr>
        <w:t xml:space="preserve">ISO 20022-1:2013 Financial services — Universal financial industry message scheme</w:t>
      </w:r>
      <w:r>
        <w:t xml:space="preserve">. ISO.</w:t>
      </w:r>
    </w:p>
    <w:p>
      <w:pPr/>
      <w:r>
        <w:t xml:space="preserve">Khandani, A. E., Kim, A. J., &amp; Lo, A. W. (2010). Consumer credit-risk models via machine-learning algorithms. </w:t>
      </w:r>
      <w:r>
        <w:rPr>
          <w:i/>
        </w:rPr>
        <w:t xml:space="preserve">Journal of Banking &amp; Finance, 34</w:t>
      </w:r>
      <w:r>
        <w:t xml:space="preserve">(11), 2767–2787.</w:t>
      </w:r>
    </w:p>
    <w:p>
      <w:pPr/>
      <w:r>
        <w:t xml:space="preserve">Kleppmann, M. (2017). </w:t>
      </w:r>
      <w:r>
        <w:rPr>
          <w:i/>
        </w:rPr>
        <w:t xml:space="preserve">Designing data-intensive applications</w:t>
      </w:r>
      <w:r>
        <w:t xml:space="preserve">. O'Reilly Media.</w:t>
      </w:r>
    </w:p>
    <w:p>
      <w:pPr/>
      <w:r>
        <w:t xml:space="preserve">Kreps, J., Narkhede, N., &amp; Rao, J. (2011). Kafka: A distributed messaging system for log processing. En </w:t>
      </w:r>
      <w:r>
        <w:rPr>
          <w:i/>
        </w:rPr>
        <w:t xml:space="preserve">Proceedings of the NetDB Workshop</w:t>
      </w:r>
      <w:r>
        <w:t xml:space="preserve">.</w:t>
      </w:r>
    </w:p>
    <w:p>
      <w:pPr/>
      <w:r>
        <w:t xml:space="preserve">Lamport, L., Shostak, R., &amp; Pease, M. (1982). The Byzantine generals problem. </w:t>
      </w:r>
      <w:r>
        <w:rPr>
          <w:i/>
        </w:rPr>
        <w:t xml:space="preserve">ACM Transactions on Programming Languages and Systems, 4</w:t>
      </w:r>
      <w:r>
        <w:t xml:space="preserve">(3), 382–401.</w:t>
      </w:r>
    </w:p>
    <w:p>
      <w:pPr/>
      <w:r>
        <w:t xml:space="preserve">Lessmann, S., Baesens, B., Seow, H.-V., &amp; Thomas, L. C. (2015). Benchmarking state-of-the-art classification algorithms for credit scoring: An update of research. </w:t>
      </w:r>
      <w:r>
        <w:rPr>
          <w:i/>
        </w:rPr>
        <w:t xml:space="preserve">European Journal of Operational Research, 247</w:t>
      </w:r>
      <w:r>
        <w:t xml:space="preserve">(1), 124–136.</w:t>
      </w:r>
    </w:p>
    <w:p>
      <w:pPr/>
      <w:r>
        <w:t xml:space="preserve">Ley N.º 29733, Ley de Protección de Datos Personales. (2011). </w:t>
      </w:r>
      <w:r>
        <w:rPr>
          <w:i/>
        </w:rPr>
        <w:t xml:space="preserve">Diario Oficial El Peruano</w:t>
      </w:r>
      <w:r>
        <w:t xml:space="preserve">.</w:t>
      </w:r>
    </w:p>
    <w:p>
      <w:pPr/>
      <w:r>
        <w:t xml:space="preserve">Ley N.º 29985, Ley que regula las características básicas del dinero electrónico como instrumento de inclusión financiera. (2013). </w:t>
      </w:r>
      <w:r>
        <w:rPr>
          <w:i/>
        </w:rPr>
        <w:t xml:space="preserve">Diario Oficial El Peruano</w:t>
      </w:r>
      <w:r>
        <w:t xml:space="preserve">.</w:t>
      </w:r>
    </w:p>
    <w:p>
      <w:pPr/>
      <w:r>
        <w:t xml:space="preserve">Lundberg, S. M., &amp; Lee, S.-I. (2017). A unified approach to interpreting model predictions. En </w:t>
      </w:r>
      <w:r>
        <w:rPr>
          <w:i/>
        </w:rPr>
        <w:t xml:space="preserve">Advances in Neural Information Processing Systems 30</w:t>
      </w:r>
      <w:r>
        <w:t xml:space="preserve"> (pp. 4765–4774).</w:t>
      </w:r>
    </w:p>
    <w:p>
      <w:pPr/>
      <w:r>
        <w:t xml:space="preserve">McMahan, B., Moore, E., Ramage, D., Hampson, S., &amp; Agüera y Arcas, B. (2017). Communication-efficient learning of deep networks from decentralized data. En </w:t>
      </w:r>
      <w:r>
        <w:rPr>
          <w:i/>
        </w:rPr>
        <w:t xml:space="preserve">Proceedings of the 20th International Conference on Artificial Intelligence and Statistics (AISTATS)</w:t>
      </w:r>
      <w:r>
        <w:t xml:space="preserve"> (pp. 1273–1282).</w:t>
      </w:r>
    </w:p>
    <w:p>
      <w:pPr/>
      <w:r>
        <w:t xml:space="preserve">Mell, P., &amp; Grance, T. (2011). </w:t>
      </w:r>
      <w:r>
        <w:rPr>
          <w:i/>
        </w:rPr>
        <w:t xml:space="preserve">The NIST definition of cloud computing</w:t>
      </w:r>
      <w:r>
        <w:t xml:space="preserve"> (NIST SP 800-145). National Institute of Standards and Technology.</w:t>
      </w:r>
    </w:p>
    <w:p>
      <w:pPr/>
      <w:r>
        <w:t xml:space="preserve">Nakamoto, S. (2008). </w:t>
      </w:r>
      <w:r>
        <w:rPr>
          <w:i/>
        </w:rPr>
        <w:t xml:space="preserve">Bitcoin: A peer-to-peer electronic cash system</w:t>
      </w:r>
      <w:r>
        <w:t xml:space="preserve">.</w:t>
      </w:r>
    </w:p>
    <w:p>
      <w:pPr/>
      <w:r>
        <w:t xml:space="preserve">Newman, S. (2021). </w:t>
      </w:r>
      <w:r>
        <w:rPr>
          <w:i/>
        </w:rPr>
        <w:t xml:space="preserve">Building microservices: Designing fine-grained systems</w:t>
      </w:r>
      <w:r>
        <w:t xml:space="preserve"> (2.ª ed.). O'Reilly Media.</w:t>
      </w:r>
    </w:p>
    <w:p>
      <w:pPr/>
      <w:r>
        <w:t xml:space="preserve">PCI Security Standards Council. (2022). </w:t>
      </w:r>
      <w:r>
        <w:rPr>
          <w:i/>
        </w:rPr>
        <w:t xml:space="preserve">Payment Card Industry Data Security Standard: Requirements and testing procedures</w:t>
      </w:r>
      <w:r>
        <w:t xml:space="preserve"> (v4.0).</w:t>
      </w:r>
    </w:p>
    <w:p>
      <w:pPr/>
      <w:r>
        <w:t xml:space="preserve">Philippon, T. (2016). </w:t>
      </w:r>
      <w:r>
        <w:rPr>
          <w:i/>
        </w:rPr>
        <w:t xml:space="preserve">The FinTech opportunity</w:t>
      </w:r>
      <w:r>
        <w:t xml:space="preserve"> (NBER Working Paper N.º 22476). National Bureau of Economic Research.</w:t>
      </w:r>
    </w:p>
    <w:p>
      <w:pPr/>
      <w:r>
        <w:t xml:space="preserve">Puschmann, T. (2017). Fintech. </w:t>
      </w:r>
      <w:r>
        <w:rPr>
          <w:i/>
        </w:rPr>
        <w:t xml:space="preserve">Business &amp; Information Systems Engineering, 59</w:t>
      </w:r>
      <w:r>
        <w:t xml:space="preserve">(1), 69–76.</w:t>
      </w:r>
    </w:p>
    <w:p>
      <w:pPr/>
      <w:r>
        <w:t xml:space="preserve">Richardson, C. (2018). </w:t>
      </w:r>
      <w:r>
        <w:rPr>
          <w:i/>
        </w:rPr>
        <w:t xml:space="preserve">Microservices patterns: With examples in Java</w:t>
      </w:r>
      <w:r>
        <w:t xml:space="preserve">. Manning.</w:t>
      </w:r>
    </w:p>
    <w:p>
      <w:pPr/>
      <w:r>
        <w:t xml:space="preserve">Rose, S., Borchert, O., Mitchell, S., &amp; Connelly, S. (2020). </w:t>
      </w:r>
      <w:r>
        <w:rPr>
          <w:i/>
        </w:rPr>
        <w:t xml:space="preserve">Zero trust architecture</w:t>
      </w:r>
      <w:r>
        <w:t xml:space="preserve"> (NIST SP 800-207). National Institute of Standards and Technology.</w:t>
      </w:r>
    </w:p>
    <w:p>
      <w:pPr/>
      <w:r>
        <w:t xml:space="preserve">Schär, F. (2021). Decentralized finance: On blockchain- and smart contract-based financial markets. </w:t>
      </w:r>
      <w:r>
        <w:rPr>
          <w:i/>
        </w:rPr>
        <w:t xml:space="preserve">Federal Reserve Bank of St. Louis Review, 103</w:t>
      </w:r>
      <w:r>
        <w:t xml:space="preserve">(2), 153–174.</w:t>
      </w:r>
    </w:p>
    <w:p>
      <w:pPr/>
      <w:r>
        <w:t xml:space="preserve">Thakor, A. V. (2020). Fintech and banking: What do we know? </w:t>
      </w:r>
      <w:r>
        <w:rPr>
          <w:i/>
        </w:rPr>
        <w:t xml:space="preserve">Journal of Financial Intermediation, 41</w:t>
      </w:r>
      <w:r>
        <w:t xml:space="preserve">, 100833.</w:t>
      </w:r>
    </w:p>
    <w:p>
      <w:pPr/>
      <w:r>
        <w:t xml:space="preserve">Werner, S. M., Perez, D., Gudgeon, L., Klages-Mundt, A., Harz, D., &amp; Knottenbelt, W. J. (2022). SoK: Decentralized finance (DeFi). En </w:t>
      </w:r>
      <w:r>
        <w:rPr>
          <w:i/>
        </w:rPr>
        <w:t xml:space="preserve">Proceedings of the 4th ACM Conference on Advances in Financial Technologies</w:t>
      </w:r>
      <w:r>
        <w:t xml:space="preserve"> (pp. 30–46).</w:t>
      </w:r>
    </w:p>
    <w:p>
      <w:pPr/>
      <w:r>
        <w:t xml:space="preserve">Zetzsche, D. A., Buckley, R. P., Arner, D. W., &amp; Barberis, J. N. (2017). From FinTech to TechFin: The regulatory challenges of data-driven finance. </w:t>
      </w:r>
      <w:r>
        <w:rPr>
          <w:i/>
        </w:rPr>
        <w:t xml:space="preserve">New York University Journal of Law and Business, 14</w:t>
      </w:r>
      <w:r>
        <w:t xml:space="preserve">(2), 393–446.</w:t>
      </w:r>
    </w:p>
    <w:p>
      <w:pPr/>
      <w:r>
        <w:t xml:space="preserve">Zheng, Z., Xie, S., Dai, H.-N., Chen, X., &amp; Wang, H. (2018). Blockchain challenges and opportunities: A survey. </w:t>
      </w:r>
      <w:r>
        <w:rPr>
          <w:i/>
        </w:rPr>
        <w:t xml:space="preserve">International Journal of Web and Grid Services, 14</w:t>
      </w:r>
      <w:r>
        <w:t xml:space="preserve">(4), 352–375.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Fintech arquitectura tecnológica, modelos analíticos y seguridad de los servicio</dc:title>
  <dc:description>Claude Docs node/2c4761f8-30db@12 docx-w7</dc:description>
  <cp:revision>12</cp:revision>
</cp:coreProperties>
</file>