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FINSIGHT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color w:val="2e75b6"/>
          <w:sz w:val="30"/>
          <w:szCs w:val="30"/>
          <w:rtl w:val="0"/>
        </w:rPr>
        <w:t xml:space="preserve">Assistente Inteligente de Saúde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Documentação Técnica Consolidada — Ciclo de Vida Completo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v6.0 · Equipe G9-BR-TEAM-20 · Hackathon ONE (Alura + Oracle)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Infraestrutura: Oracle Cloud Infrastructure (OCI Always Free) — VM.Standard.E2.1.Micro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Documento compilado a partir do PRD original, código-fonte (main.py, index.html), notebooks de Ciência de Dados (01–04) e script de operação (ATUALIZAR_VM_v4.sh)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9096140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Visão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FinSight AI é um assistente inteligente de saúde financeira: o usuário informa renda, nível de endividamento, frequência de poupança e uma lista de transações do mês, e o sistema devolve uma análise completa — categoria de cada gasto, perfil financeiro (Saudável / Em Observação / Em Risco), um score numérico de 0 a 1000, alertas de metas ultrapassadas, explicabilidade da decisão e recomendações priorizadas. O produto nasceu como projeto do Hackathon ONE (Alura + Oracle), desenvolvido pela equipe G9-BR-TEAM-20, e evoluiu até uma versão v6.0 operando em produção sobre a camada gratuita da Oracle Cloud Infrastructure (OCI).</w:t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Este documento consolida todo o material disponível do projeto — o PRD/edital, os quatro notebooks de Ciência de Dados, a documentação técnica de base de dados (Documentacao_tecnica_BASE_DADOS.md) com seus cinco datasets auditáveis (bcb_inadimplencia_pf.csv, sidra_despesas_bruto.csv, sidra_despesas_limpo.csv, transacoes_sinteticas.csv, perfis_financeiros_sinteticos.csv), o código-fonte do backend (main.py), o frontend (index.html), o script de operação da VM (ATUALIZAR_VM_v4.sh) e a documentação técnica em HTML/PDF — em uma referência única, organizada cronologicamente: da concepção do problema até a operação em produção. O objetivo é que qualquer pessoa (inclusive um novo integrante de equipe) consiga entender o "porquê" de cada decisão técnica, não apenas o "como".</w:t>
      </w:r>
    </w:p>
    <w:p w:rsidR="00000000" w:rsidDel="00000000" w:rsidP="00000000" w:rsidRDefault="00000000" w:rsidRPr="00000000" w14:paraId="0000000E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Verificação de consistência: </w:t>
      </w:r>
      <w:r w:rsidDel="00000000" w:rsidR="00000000" w:rsidRPr="00000000">
        <w:rPr>
          <w:color w:val="5c4200"/>
          <w:rtl w:val="0"/>
        </w:rPr>
        <w:t xml:space="preserve">Os números apresentados na Etapa 1 (registros do BCB, do SIDRA e das duas bases sintéticas) foram conferidos diretamente contra os arquivos CSV entregues, não apenas copiados da documentação de origem — todos batem exatamente.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1.1 Arquitetura em um relance</w:t>
      </w:r>
      <w:r w:rsidDel="00000000" w:rsidR="00000000" w:rsidRPr="00000000">
        <w:rPr>
          <w:rtl w:val="0"/>
        </w:rPr>
      </w:r>
    </w:p>
    <w:tbl>
      <w:tblPr>
        <w:tblStyle w:val="Table1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4300"/>
        <w:tblGridChange w:id="0">
          <w:tblGrid>
            <w:gridCol w:w="2200"/>
            <w:gridCol w:w="3800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HTML5 + Tailwind CSS + Chart.js + 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do usuário, dashboard, gráficos, formulário de análise, multi-idioma (PT/EN/ES)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Proxy reverso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 (porta 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Roteia requisições para o frontend estático e para a API; ponto único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3.10+, FastAPI, 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Classificação de transações, cálculo de perfil e score, geração de alertas e recomendações, persistência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scikit-learn (TF-IDF, Regressão Logística, Random 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Dois modelos de produção: categorização de gastos e classificação de perfil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 de análises para consulta e evolução do score ao longo do 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Armazenamento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OCI 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Repositório central dos artefatos .pkl, sincronizados para a VM na inicialização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OCI Compute (VM.Standard.E2.1.Micro), Ubuntu 24.04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Camada Always Free — 1 OCPU / 1 GB RAM, com SWAP de 2 GB para evitar 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A escolha por uma VM de apenas 1 GB de RAM (camada gratuita) é a restrição que mais influenciou decisões de engenharia no projeto — do uso de SWAP obrigatório ao cuidado em serializar modelos leves (Regressão Logística e Random Forest, não redes neurais profundas, para o ambiente de produção).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1.2 Como ler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conteúdo está organizado em etapas, seguindo a ordem real em que o projeto foi construído — dos dados brutos até a operação do sistema no ar. Cada etapa explica o objetivo, as decisões tomadas (e por quê), e os artefatos técnicos correspondentes.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1 — Fundação de dados: de onde vieram os números que alimentam os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2 — Modelo de categorização de gastos (o "o que é isso" de cada transação)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3 — Modelo de perfil financeiro (o "como você está" do usuário)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4 — Pipeline de integração (unindo os dois modelos em um fluxo único)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5 — Backend / API REST (onde tudo roda em produção)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6 — Frontend (a experiência do usuário)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7 — Infraestrutura em nuvem (onde o sistema vive)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8 — Deploy, automação e operação (como o sistema é atualizado e mantido no 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9 — Contrato de API (referência técnica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10 — Runbook de operação (o que fazer quando algo dá errado)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11 — Limitações, riscos 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1.3 Equipe — G9-BR-TEAM-20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200"/>
        <w:gridCol w:w="2600"/>
        <w:tblGridChange w:id="0">
          <w:tblGrid>
            <w:gridCol w:w="3400"/>
            <w:gridCol w:w="32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Fabio C. Zinetti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github.com/fabinhoz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@fabinhoz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P. R. Deodato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github.com/jpdeodato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@jp_deodato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Edson H. F. da Silva (Henrique Silva)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github.com/86HenriqueSilva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@henrique.silva2916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Luciano R. da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github.com/siilverado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@siilverado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M. Veiga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@rodrigoveiga93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 N. Xavier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@andrepgupgrade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Ponto a confirmar com a equipe: </w:t>
      </w:r>
      <w:r w:rsidDel="00000000" w:rsidR="00000000" w:rsidRPr="00000000">
        <w:rPr>
          <w:color w:val="5c4200"/>
          <w:rtl w:val="0"/>
        </w:rPr>
        <w:t xml:space="preserve">A documentação técnica de base de dados descreve a frente de Ciência de Dados como "um time de 4 pessoas, sem experiência prévia em hackathon", enquanto o README lista 6 integrantes no total do squad G9-BR-TEAM-20. Isso é coerente com um hackathon estruturado em frentes (Dados, Back-end, Front-end) dentro de um squad maior — mas vale confirmar com o time qual subconjunto efetivamente compôs a frente de Dados, para que a autoria de cada fase fique correta caso este documento seja usado como peça de portfólio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Etapa 1 — Base de Dados: Fontes, Coleta, Limpeza e Geração Sintética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Todo modelo de Machine Learning é tão bom quanto os dados que o alimentam. Antes de treinar qualquer classificador, o time precisava resolver um problema anterior: não existe, publicamente, um dataset de "transações financeiras pessoais rotuladas por categoria" para o Brasil. Foi necessário construir um — e a forma como isso foi feito, documentada em quatro fases (Setup, Coleta, Limpeza e Geração Sintética) e materializada em cinco arquivos CSV auditáveis, é uma das partes mais defensáveis do projeto do ponto de vista metodológico.</w:t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2.0 Por que usar dados reais em vez de números inventados?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Essa é a decisão que sustenta toda a credibilidade estatística do projeto, e vale reforçar explicitamente na documentação — inclusive como argumento de defesa em banca/avaliação: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Ancoragem estatística: sem uma referência real, qualquer valor de "gasto médio com Alimentação" seria um chute. Usar a Pesquisa de Orçamentos Familiares do IBGE (via SIDRA) e a série de inadimplência do Banco Central significa que o dataset sintético, mesmo sendo gerado artificialmente, reproduz proporções que existem na economia real do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Defensabilidade: se um avaliador perguntar "por que R$ 658,23 para Alimentação, e não outro valor?", a resposta é uma tabela pública do governo, rastreável por URL — não uma escolha arbitrária da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Calibração de regras de negócio: o indicador de inadimplência do Banco Central é usado na Fase 6 (Notebook 03) para fundamentar os limiares que definem "risco financeiro" — evitando que threshold de 30%/50% pareçam números tirados do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Realismo estatístico sem exposição de dados pessoais: como não existe (nem deveria existir, por privacidade) uma base pública de extratos bancários reais e rotulados, ancorar a geração sintética em agregados oficiais é o meio-termo correto entre realismo e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Reforço para a documentação: </w:t>
      </w:r>
      <w:r w:rsidDel="00000000" w:rsidR="00000000" w:rsidRPr="00000000">
        <w:rPr>
          <w:color w:val="5c4200"/>
          <w:rtl w:val="0"/>
        </w:rPr>
        <w:t xml:space="preserve">Esse é o argumento central a reforçar: os dados sintéticos não são "inventados" — são gerados por um processo estatístico (distribuição log-normal, Beta) parametrizado por números reais e oficiais. A diferença entre "sintético ancorado em dado real" e "sintético aleatório" é exatamente o que separa um MVP de hackathon defensável de um MVP que não resistiria a uma pergunta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2.1 Fase 1 — Setup do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Antes de qualquer coleta, o time (sem experiência prévia em hackathon) precisava de um ambiente colaborativo sem fricção de configuração local. A escolha foi Google Colab integrado ao Google Drive, por três motivos: dispensa instalação de Python e bibliotecas em cada máquina; permite colaboração em tempo real, como um Google Docs para código; e garante persistência dos arquivos entre sessões.</w:t>
      </w:r>
    </w:p>
    <w:p w:rsidR="00000000" w:rsidDel="00000000" w:rsidP="00000000" w:rsidRDefault="00000000" w:rsidRPr="00000000" w14:paraId="0000005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estrutura de pastas segue um princípio simples de organização de projetos de dados — código, dado e modelo nunca ficam misturados:</w:t>
      </w:r>
    </w:p>
    <w:p w:rsidR="00000000" w:rsidDel="00000000" w:rsidP="00000000" w:rsidRDefault="00000000" w:rsidRPr="00000000" w14:paraId="0000005A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HACKATHON G9 - TEAM 20/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├── notebooks/   → arquivos .ipynb (o código)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├── datasets/    → arquivos .csv gerados/coletados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└── modelos/     → modelos treinados (.pkl), a partir da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Obstáculo real e lição: </w:t>
      </w:r>
      <w:r w:rsidDel="00000000" w:rsidR="00000000" w:rsidRPr="00000000">
        <w:rPr>
          <w:color w:val="5c4200"/>
          <w:rtl w:val="0"/>
        </w:rPr>
        <w:t xml:space="preserve">O time cometeu e resolveu um erro real nesta fase: criou a pasta como "HACKATHON G9 - TEAM 20" (com espaços e hífen), enquanto o caminho sugerido inicialmente era "Hackathon_OCI_G9" (sem espaços), gerando um FileNotFoundError. A lição documentada — sempre confirmar o nome exato da pasta com os.listdir() antes de seguir, em vez de digitar de memória — é uma boa prática de robustez que vale manter em qualquer notebook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2.2 Fase 2 — Coleta de dados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Parte A — Banco Central do Brasil (bcb_inadimplencia_pf.csv)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Consulta direta à API pública do Sistema Gerenciador de Séries Temporais (SGS) do BCB, sem necessidade de chave de acesso — série 20785, "Inadimplência da carteira de crédito — Pessoas físicas".</w:t>
      </w:r>
    </w:p>
    <w:p w:rsidR="00000000" w:rsidDel="00000000" w:rsidP="00000000" w:rsidRDefault="00000000" w:rsidRPr="00000000" w14:paraId="0000005F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url_bcb = "https://api.bcb.gov.br/dados/serie/bcdata.sgs.20785/dados?formato=json"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resposta_bcb = requests.get(url_bcb)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df_bcb = pd.DataFrame(resposta_bcb.json())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Resultado verificado no arquivo entregue: 183 registros mensais de inadimplência. Esse indicador é usado na Fase 6 para calibrar o que conta como "nível de endividamento de risco" no modelo de perfil, em vez de definir esse limite no chute.</w:t>
      </w:r>
    </w:p>
    <w:p w:rsidR="00000000" w:rsidDel="00000000" w:rsidP="00000000" w:rsidRDefault="00000000" w:rsidRPr="00000000" w14:paraId="0000006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Parte B — IBGE/SIDRA: o caminho real até o dado certo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Diferente da coleta do BCB, a busca pelo dado certo no SIDRA não foi direta — e documentar o percurso (não só o resultado final) é o que diferencia um dataset fundamentado de um dataset ingênuo: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 1 — Tabela 418, nível territorial N1 (Brasil): retornou erro 400 ("Parâmetro N1 incompatível com a tabela"). Diagnóstico: testando programaticamente vários níveis territoriais, descobriu-se que essa tabela só aceitava N7 (Região Metropolitana) e N6 (Município)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 2 — Tabela 418 com N7: funcionou tecnicamente, mas revelou um segundo problema — a variável retornada estava em quilogramas, não em Reais. A palavra "monetária" no nome da tabela referia-se à forma de aquisição (comprado vs. doado/produzido em casa), não à unidade de medida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 da causa raiz: consulta direta aos metadados oficiais da tabela via API do IBGE, que confirmou que a Tabela 418 media apenas quantidade — levando à busca por uma tabela irmã com valor em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final — Tabela 6715 ("Despesa monetária e não monetária média mensal familiar, por tipo de despesa"), consultada com a variável 1201 (valor em Reais), nível Brasil e Estados, todas as faixas de renda, e apenas as 7 categorias que batem com o edital do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Por que documentar os erros, não só o resultado: </w:t>
      </w:r>
      <w:r w:rsidDel="00000000" w:rsidR="00000000" w:rsidRPr="00000000">
        <w:rPr>
          <w:color w:val="5c4200"/>
          <w:rtl w:val="0"/>
        </w:rPr>
        <w:t xml:space="preserve">Esse percurso (Tabela 418 → erro → descoberta da causa raiz → Tabela 6715) é, na prática, prova de que o time não aceitou o primeiro resultado sem questionar se ele fazia sentido econômico. Vale destacar esse tipo de registro em qualquer apresentação: é sinal de maturidade técnica, não apenas um detalhe de rodapé.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Resultado verificado no arquivo entregue: 1.569 registros brutos salvos em sidra_despesas_bruto.csv.</w:t>
      </w:r>
    </w:p>
    <w:p w:rsidR="00000000" w:rsidDel="00000000" w:rsidP="00000000" w:rsidRDefault="00000000" w:rsidRPr="00000000" w14:paraId="0000006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2.3 Fase 3 — Limpeza e validação (sidra_despesas_limpo.csv)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Ter o dado baixado não basta: a API legada do SIDRA nomeia colunas genericamente (D1, D2, D3...) pela ordem em que as dimensões foram pedidas na URL, não pelo conteúdo — e a primeira linha do resultado é, na prática, um dicionário de cabeçalho disfarçado de linha de dado.</w:t>
      </w:r>
    </w:p>
    <w:p w:rsidR="00000000" w:rsidDel="00000000" w:rsidP="00000000" w:rsidRDefault="00000000" w:rsidRPr="00000000" w14:paraId="0000006B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problema apareceu ao validar a coluna que deveria conter faixas de renda e retornar, em vez disso, ['Ano', '2018']. O mapeamento correto entre coluna genérica e conteúdo real foi reconstruído cruzando a ordem dos parâmetros da URL de coleta: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Coluna genérica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Território (Brasil/Estado)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Variável (sempre "Despesa monetária...")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(não é renda, como se supôs inicialmente)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 de renda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 de despesa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em Reais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função de limpeza descarta a linha de cabeçalho embutida, renomeia as colunas para nomes legíveis e converte o valor para numérico com pd.to_numeric(errors='coerce'), garantindo que qualquer texto residual vire NaN em vez de quebrar cálculos futuros. O dado bruto nunca é sobrescrito — bruto e limpo são salvos em arquivos separados, permitindo voltar à fonte original sem precisar consultar a API novamente.</w:t>
      </w:r>
    </w:p>
    <w:p w:rsidR="00000000" w:rsidDel="00000000" w:rsidP="00000000" w:rsidRDefault="00000000" w:rsidRPr="00000000" w14:paraId="0000007B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Resultado verificado nos arquivos entregues: 1.569 linhas no bruto e 1.568 no limpo — exatamente uma linha a menos, a do cabeçalho descartado. Esse número batendo é, na prática, a confirmação de que a limpeza funcionou como esperado.</w:t>
      </w:r>
    </w:p>
    <w:p w:rsidR="00000000" w:rsidDel="00000000" w:rsidP="00000000" w:rsidRDefault="00000000" w:rsidRPr="00000000" w14:paraId="0000007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2.4 Fase 4 — Dataset sintético de transações (transacoes_sinteticas.csv)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dataset limpo traz médias mensais agregadas ("a família brasileira gasta em média R$ 658,23/mês com Alimentação") — suficiente para entender o comportamento populacional, mas não para treinar um classificador, que precisa de exemplos individuais: transações isoladas, com descrição e valor, como um extrato bancário real.</w:t>
      </w:r>
    </w:p>
    <w:p w:rsidR="00000000" w:rsidDel="00000000" w:rsidP="00000000" w:rsidRDefault="00000000" w:rsidRPr="00000000" w14:paraId="0000007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A decisão de design mais importante desta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Sortear cada transação diretamente em torno da média mensal geraria um dataset irreal — pareceria que toda ida ao mercado custa quase R$ 658, quando esse valor é a soma de várias compras no mês inteiro. A solução aplicada segue três passos: simular quantas transações mensais uma família faz naquela categoria (ex.: 8 a 20 idas ao mercado); dividir a média mensal real por esse número, obtendo o valor plausível de uma transação; e aplicar variação estatística log-normal em torno desse valor.</w:t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400"/>
        <w:tblGridChange w:id="0">
          <w:tblGrid>
            <w:gridCol w:w="38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que essa escolha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Frequência mensal sorteada por faixa (ex.: 8–20× para Alimentação)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Ninguém vai ao mercado o mesmo número exato de vezes todo mês — a variação é realista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média_mensal ÷ n_transações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Núcleo da fase: sem essa divisão, os valores das transações ficariam artificialmente altos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Distribuição log-normal (não uniforme)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Gastos reais nunca são negativos e têm "cauda longa" — a maioria das compras é barata, poucas são bem mais caras; log-normal reproduz esse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seed = 42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Reprodutibilidade: qualquer pessoa do time que rodar o mesmo código obtém exatamente o mesmo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Resultado verificado no arquivo entregue: 10.000 transações sintéticas, distribuídas de forma equilibrada entre as 7 categorias (entre 1.390 e 1.466 registros por categoria), cada uma com descrição textual realista, valor e categoria — prontas para alimentar o treino do modelo de categorização (Etapa 2).</w:t>
      </w:r>
    </w:p>
    <w:p w:rsidR="00000000" w:rsidDel="00000000" w:rsidP="00000000" w:rsidRDefault="00000000" w:rsidRPr="00000000" w14:paraId="0000008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2.5 O vocabulário de estabelecimentos — três rodadas de correção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dicionário de nomes de estabelecimentos por categoria, usado para gerar a coluna "descrição" com textura realista (Extra, Uber, Netflix, Drogasil...), passou por três correções sucessivas, motivadas por problemas de generalização descobertos ao testar o modelo de categoria (Etapa 2):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Nomes de marca puros (ex.: apenas "Extra") não geram sinal textual reconhecível para estabelecimentos nunca vistos no treino — corrigido incluindo uma palavra genérica de categoria em cada nome (ex.: "Supermercado Extra", "Farmácia Pague Menos")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Categorias com poucas opções (ex.: Educação, inicialmente com 11–16 itens) tinham desempenho instável entre diferentes sorteios de treino/teste — corrigido garantindo 20+ opções por categoria, com sinônimos genéricos redundantes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Faltavam termos que um usuário real digitaria (e não apenas nomes de marca) — como "Combustível", "Conta de Luz", "Remédio Farmácia" — que foram adicionados ao vocabulário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Este é o tipo de correção que só aparece quando se testa o modelo com dados nunca vistos (estabelecimentos fora do treino), e não com uma divisão aleatória ingênua de transações. O detalhe volta a aparecer na Etapa 2, onde a metodologia de validação foi corrigida pelo mesmo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2.6 O outro lado do dataset sintético: perfis financeiros (perfis_financeiros_sinteticos.csv)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Em paralelo ao dataset de transações, a Fase 6 (Notebook 03, detalhada na Etapa 3 deste documento) gera 5.000 perfis financeiros sintéticos — renda (log-normal), endividamento (distribuição Beta) e gastos por categoria nas proporções reais do IBGE — rotulados por uma regra de negócio determinística. O arquivo entregue confirma exatamente essa escala: 5.000 registros, com a seguinte distribuição de perfil resultante da regra de negócio:</w:t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600"/>
        <w:tblGridChange w:id="0">
          <w:tblGrid>
            <w:gridCol w:w="3200"/>
            <w:gridCol w:w="24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Saudável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A classe "Em Risco" é minoritária (13,2%) por construção — reflete a proporção real de inadimplência mais grave na população, não um desequilíbrio acidental do gerador. Isso é relevante para a Etapa 3: é exatamente por isso que o F1-macro (e não apenas a acurácia geral) e o recall na classe "Em Risco" foram os critérios usados para escolher o modelo de produção — métricas agregadas simples mascarariam o desempenho na classe minoritária, que é a mais importante do ponto de vista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3. Etapa 2 — Modelo de Categorização de Gastos (Notebook 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Objetivo: treinar um modelo capaz de prever a categoria financeira de uma transação (Alimentação, Transporte, Saúde, Moradia, Educação, Lazer, Serviços) a partir apenas da sua descrição textual — por exemplo, "Uber" ou "Netflix".</w:t>
      </w:r>
    </w:p>
    <w:p w:rsidR="00000000" w:rsidDel="00000000" w:rsidP="00000000" w:rsidRDefault="00000000" w:rsidRPr="00000000" w14:paraId="000000A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3.1 A armadilha do split aleatório — e como foi descoberta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validação de um modelo de classificação de texto é onde a maioria dos projetos amadores erra silenciosamente. O histórico de decisões deste notebook documenta exatamente essa evolução: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primeiro teste com divisão aleatória por transação deu 100% de acurácia — um falso positivo de qualidade. A causa: o mesmo estabelecimento (ex.: "Supermercado Extra") aparecia tanto no conjunto de treino quanto no de teste, então o modelo estava memorizando nomes, não aprendendo padrões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Corrigido para divisão por estabelecimento nunca visto — ou seja, garantindo que nenhum nome de loja usado no teste tivesse aparecido no treino — a acurácia caiu para valores mais realistas, revelando a necessidade do vocabulário mais rico e redundante (resolvido no Notebook 01, Seção 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divisão única mostraram grande variação de resultado dependendo apenas da sorte do sorteio de treino/teste — o que motivou a adoção de validação cruzada com múltiplas rodadas como metodologia final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3.2 Metodologia final e pipeline de treino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notebook executa, em ordem: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Carrega o dataset sintético de 10.000 transações (Notebook 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 com validação cruzada de 10 rodadas — cada rodada reserva um conjunto diferente de estabelecimentos exclusivamente para teste (nunca vistos no treino), para estimar a qualidade esperada do modelo sem depender da sorte de um único sorteio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 o modelo final de produção com 100% dos dados disponíveis — diferente da etapa anterior, aqui o objetivo é maximizar o aprendizado, não medir desempenho (isso já foi feito no passo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 os três artefatos de produção com joblib: vetorizador_tfidf.pkl, modelo_categoria_producao.pkl e codificador_categorias.pkl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Especificação técnica do modelo</w:t>
      </w:r>
      <w:r w:rsidDel="00000000" w:rsidR="00000000" w:rsidRPr="00000000">
        <w:rPr>
          <w:rtl w:val="0"/>
        </w:rPr>
      </w:r>
    </w:p>
    <w:tbl>
      <w:tblPr>
        <w:tblStyle w:val="Table6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700"/>
        <w:tblGridChange w:id="0">
          <w:tblGrid>
            <w:gridCol w:w="36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Regressão Logística Multinomial (scikit-learn)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TF-IDF, n-grams (1,2), lowercase=True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rodadas de validação cruzada, split por estabelecimento (GroupShuffleSplit-like), test_size=0.25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Acurácia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86,79% (desvio padrão 5,33%)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F1-macro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86,26% (desvio padrão 6,56%)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Artefatos gerados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vetorizador_tfidf.pkl · modelo_categoria_producao.pkl · codificador_categorias.pkl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O desvio padrão de ~5,3 pontos percentuais entre rodadas não é ruído a ser ignorado — é a própria evidência de que o split único do passo 1 (100% de acurácia) era enganoso. Reportar a média de 10 rodadas, em vez de um único número otimista, é uma prática de validação de nível sênior.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4. Etapa 3 — Modelo de Perfil Financeiro (Notebook 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Objetivo: classificar o perfil financeiro do usuário em Saudável, Em Observação ou Em Risco, a partir de renda mensal, nível de endividamento, frequência de poupança e distribuição de gastos por categoria.</w:t>
      </w:r>
    </w:p>
    <w:p w:rsidR="00000000" w:rsidDel="00000000" w:rsidP="00000000" w:rsidRDefault="00000000" w:rsidRPr="00000000" w14:paraId="000000C1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4.1 O desafio: não existe rótulo pronto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Diferente do Notebook 02 — onde a categoria de cada transação já vinha definida na própria geração sintética — não existe nenhuma fonte pública que diga se uma família é "saudável" ou está "em risco" financeiro. Esse critério teve de ser construído do zero, como uma regra de negócio fundamentada, combinando nível de endividamento, comprometimento de gastos e frequência de poupança, com limiares de 30% e 50% baseados em educação financeira brasileira e contextualizados pelo indicador real de inadimplência do Banco Central coletado no Notebook 01.</w:t>
      </w:r>
    </w:p>
    <w:p w:rsidR="00000000" w:rsidDel="00000000" w:rsidP="00000000" w:rsidRDefault="00000000" w:rsidRPr="00000000" w14:paraId="000000C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4.2 Pipeline de treino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a regra de negócio que rotula o perfil financeiro (combinação de endividamento, comprometimento de gastos e poupança)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 5.000 perfis financeiros sintéticos, com renda (distribuição log-normal), endividamento (distribuição Beta) e gastos por categoria nas proporções reais do IBGE, distribuídos de forma estatisticamente realista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Rotula automaticamente cada perfil sintético aplicando a regra de negócio do passo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 e compara dois modelos — Random Forest e Rede Neural Densa — usando split aleatório simples (válido aqui, ao contrário do Notebook 02, porque os dados são numéricos contínuos, não texto com vocabulário fechado)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 o modelo vencedor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4.3 Por que Random Forest venceu a Rede Neural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Random Forest foi escolhido como modelo de produção por três critérios, não apenas acurácia bruta: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F1-macro superior no comparativo entre os dois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 recall na classe crítica "Em Risco" — em um sistema de saúde financeira, deixar de identificar um usuário em risco é um erro mais caro do que o inverso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Explicabilidade nativa via importância de variável — relevante porque o produto promete "explicabilidade do perfil" como funcionalidade (ver Etapa 5, serviço de explicabilidade)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Esta é uma decisão de modelagem madura: escolher o algoritmo mais simples e explicável que atinge o objetivo de negócio, em vez do mais sofisticado. Numa VM com 1 GB de RAM (Etapa 7), isso também tem um benefício operacional direto — Random Forest é muito mais leve para carregar e servir do que uma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Especificação técnica do modelo</w:t>
      </w:r>
      <w:r w:rsidDel="00000000" w:rsidR="00000000" w:rsidRPr="00000000">
        <w:rPr>
          <w:rtl w:val="0"/>
        </w:rPr>
      </w:r>
    </w:p>
    <w:tbl>
      <w:tblPr>
        <w:tblStyle w:val="Table7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700"/>
        <w:tblGridChange w:id="0">
          <w:tblGrid>
            <w:gridCol w:w="36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Algoritmo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 Forest — 200 estimadores, max_depth=10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5.000 perfis financeiros sintéticos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Distribuições usadas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Log-normal (renda) · Beta (endividamento) · Proporções reais do IBGE (gastos por categoria)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Rótulo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Gerado por regra de negócio determinística (não por fonte externa)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Artefatos gerados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modelo_perfil_producao.pkl · codificador_perfil.pkl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5. Etapa 4 — Pipeline de Integração (Notebook 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Objetivo: unir os dois modelos treinados (categoria de transação e perfil financeiro) em um único pipeline de inferência, replicando exatamente o contrato de entrada/saída definido no exemplo do edital do hackathon (POST /analise-financeira).</w:t>
      </w:r>
    </w:p>
    <w:p w:rsidR="00000000" w:rsidDel="00000000" w:rsidP="00000000" w:rsidRDefault="00000000" w:rsidRPr="00000000" w14:paraId="000000DF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5.1 Arquitetura do pipeline de inferência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Entrada (JSON do edital)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Para cada transação → Modelo de Categoria → categoria prevista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Soma os valores por categoria → resumo_gastos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Calcula comprometimento_gastos = soma total ÷ renda_mensal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Monta as features → Modelo de Perfil → perfil_financeiro + probabilidade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Aplica regras de recomendação → recomendacoes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↓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Saída (JSON final, igual ao exemplo do edital)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5.2 Um bug real, encontrado pelo teste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teste final deste notebook usa exatamente o exemplo de entrada do edital, incluindo a transação "Combustivel" — termo que, numa versão anterior do vocabulário de estabelecimentos (Notebook 01), não era reconhecido corretamente e caía na categoria errada (Alimentação em vez de Transporte). Esse erro real, descoberto apenas ao testar o pipeline completo de ponta a ponta (e não cada modelo isoladamente), motivou a correção do vocabulário.</w:t>
      </w:r>
    </w:p>
    <w:p w:rsidR="00000000" w:rsidDel="00000000" w:rsidP="00000000" w:rsidRDefault="00000000" w:rsidRPr="00000000" w14:paraId="000000E3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Este é um exemplo concreto do valor de testes de integração: cada modelo, isolado, passava em seus próprios testes — o erro só emergiu quando os dois foram combinados com um dado de entrada realista. É a mesma lição, em outro nível, da armadilha do split aleatório na Etapa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5.3 Contratos de integração com 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Este pipeline é o artefato de referência para a integração com a API do time de Back-end. Duas abordagens foram documentadas separadamente, dependendo da linguagem escolhida: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CONTRATO_INTEGRACAO_BACKEND.md — cenário Java/Spring Boot, usando OCI Functions como camada intermediária de inferência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CONTRATO_INTEGRACAO_BACKEND_PYTHON.md — cenário Python/FastAPI, carregando os modelos diretamente, com OCI Object Storage + OCI Compute (a abordagem efetivamente usada em produção, ver Etapa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6. Etapa 5 — Backend / API REST (main.py)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backend é uma aplicação FastAPI (v5.0 no código-fonte analisado) que expõe o pipeline da Etapa 4 como uma API REST, com camadas adicionais de resiliência, persistência, alertas e explicabilidade que não existiam nos notebooks — construídas especificamente para o ambiente de produção.</w:t>
      </w:r>
    </w:p>
    <w:p w:rsidR="00000000" w:rsidDel="00000000" w:rsidP="00000000" w:rsidRDefault="00000000" w:rsidRPr="00000000" w14:paraId="000000E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6.1 Carregamento de modelos com resiliência (ModelLoader)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Na inicialização, a classe ModelLoader sincroniza os cinco artefatos .pkl do OCI Object Storage para o disco local da VM, usando autenticação automática via Instance Principal (sem necessidade de chaves de API armazenadas na VM). O mecanismo tem várias camadas de proteção: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local por comparação de tamanho — se o arquivo já existe e tem o mesmo tamanho do remoto, o download é pulado (Cache 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 automático (até 3 tentativas) por artefato, com log de cada tentativa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silencioso para os modelos locais já em disco, caso o Object Storage esteja inacessível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gc.collect() explícito após o carregamento, para liberar memória — decisão direta da restrição de 1 GB de RAM da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O endpoint POST /reload-models permite recarregar os cinco artefatos sem reiniciar o processo Uvicorn — útil para publicar uma nova versão de modelo sem downtime da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6.2 Serviço de Categorização (CategoriaService)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Tenta primeiro o modelo de ML (TF-IDF + Regressão Logística). Se o vetorizador, o modelo ou o codificador não estiverem carregados — ou se a inferência lançar exceção — cai automaticamente para um fallback heurístico de duas camadas: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Correspondência por palavras-chave: compara a descrição normalizada com um dicionário de termos por categoria; cada correspondência adicional aumenta a confiança em +3%, até um teto de 92%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por valor, se nenhuma palavra-chave bater: acima de R$ 1.000 → Moradia (60%); acima de R$ 200 → Serviços (55%); caso contrário → Lazer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6.3 Serviço de Perfil (PerfilService)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Segue a mesma filosofia de fallback do serviço anterior. Um detalhe de engenharia relevante é o mapeamento dinâmico de features: se o modelo Random Forest expõe feature_names_in_ (atributo padrão do scikit-learn), o código monta o DataFrame de entrada casando cada nome esperado pelo modelo com o dado correspondente por correspondência textual aproximada (ex.: qualquer nome contendo "endividamento" recebe o valor de nivel_endividamento). Isso desacopla o backend de uma ordem fixa de colunas do modelo, tornando o sistema tolerante a pequenas mudanças na forma como o modelo foi treinado.</w:t>
      </w:r>
    </w:p>
    <w:p w:rsidR="00000000" w:rsidDel="00000000" w:rsidP="00000000" w:rsidRDefault="00000000" w:rsidRPr="00000000" w14:paraId="000000F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cálculo do score de saúde (0–1000) e da explicabilidade acontece sempre, independentemente de o perfil ter vindo do modelo de ML ou do fallback — ou seja, são duas camadas desacopladas: o perfil (qualitativo) e o score (quantitativo) usam metodologias diferentes e nem sempre concordam perfeitamente (ver Etapa 9, nota sobre a fórmula do score).</w:t>
      </w:r>
    </w:p>
    <w:p w:rsidR="00000000" w:rsidDel="00000000" w:rsidP="00000000" w:rsidRDefault="00000000" w:rsidRPr="00000000" w14:paraId="000000F9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Fallback heurístico de perfil (modo de segurança)</w:t>
      </w:r>
      <w:r w:rsidDel="00000000" w:rsidR="00000000" w:rsidRPr="00000000">
        <w:rPr>
          <w:rtl w:val="0"/>
        </w:rPr>
      </w:r>
    </w:p>
    <w:tbl>
      <w:tblPr>
        <w:tblStyle w:val="Table8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700"/>
        <w:tblGridChange w:id="0">
          <w:tblGrid>
            <w:gridCol w:w="36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pontuação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Endividamento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≤30%: +2 · ≤50%: +1 · ≤70%: 0 · &gt;70%: −2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Poupança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Alta: +2 · Média: +1 · Baixa: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Proporção de gastos / 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≤30%: +3 · ≤50%: +2 · ≤70%: +1 · ≤90%: −1 · &gt;90%: −3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≥5 → Saudável · ≥2 → Em Observação · &lt;2 → Em Risco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6.4 Serviços de Alerta 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AlertaService gera avisos quando: uma categoria ultrapassa a meta definida pelo usuário (ou se aproxima, a partir de 90%); o endividamento passa de 30%; ou os gastos totais consomem mais de 70% (atenção) ou 90% (risco) da renda.</w:t>
      </w:r>
    </w:p>
    <w:p w:rsidR="00000000" w:rsidDel="00000000" w:rsidP="00000000" w:rsidRDefault="00000000" w:rsidRPr="00000000" w14:paraId="0000010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RecomendacaoService aplica uma hierarquia de prioridade — base pelo perfil, seguida por metas ultrapassadas, proporções por categoria acima de limiares específicos (ex.: Alimentação &gt;30%, Transporte &gt;20%, Lazer &gt;15%, Moradia &gt;35%, Saúde &gt;10%) e, por fim, uma combinação especial: endividamento &lt;10% + poupança Alta + gastos &lt;50% da renda gera uma mensagem de independência financeira. A lista final é truncada nas 8 recomendações mais relevantes.</w:t>
      </w:r>
    </w:p>
    <w:p w:rsidR="00000000" w:rsidDel="00000000" w:rsidP="00000000" w:rsidRDefault="00000000" w:rsidRPr="00000000" w14:paraId="00000107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6.5 Persistência e histórico (SQLite)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Cada chamada a POST /analise-financeira grava um registro completo (entrada, saída, timestamp UTC) na tabela historico de um banco SQLite local, permitindo consultas por /historico, geração de relatório individual por /relatorio/{id} e evolução do score ao longo do tempo no dashboard do frontend. A rota /simular executa o mesmo pipeline sem persistir — usada pelo "Simulador de cenários" do frontend.</w:t>
      </w:r>
    </w:p>
    <w:p w:rsidR="00000000" w:rsidDel="00000000" w:rsidP="00000000" w:rsidRDefault="00000000" w:rsidRPr="00000000" w14:paraId="00000109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6.6 Segurança e sanitização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descrições de transação passam por html.escape() antes de qualquer processamento, mitigando XSS refletido via campos de texto livre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estrita via Pydantic: frequencia_poupanca aceita somente "Alta", "Media" ou "Baixa" (sem acento) — qualquer outro valor retorna HTTP 422 automaticamente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 restrito a uma origem explícita (o IP público da VM), não a um curinga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7. Etapa 6 —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frontend é uma única página estática (index.html) servida diretamente pelo NGINX, sem necessidade de build ou bundler — decisão coerente com a simplicidade operacional exigida por uma VM de 1 GB de RAM (nenhum processo Node.js adicional a manter no ar).</w:t>
      </w:r>
    </w:p>
    <w:p w:rsidR="00000000" w:rsidDel="00000000" w:rsidP="00000000" w:rsidRDefault="00000000" w:rsidRPr="00000000" w14:paraId="00000110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7.1 Stack e funcionalidades</w:t>
      </w:r>
      <w:r w:rsidDel="00000000" w:rsidR="00000000" w:rsidRPr="00000000">
        <w:rPr>
          <w:rtl w:val="0"/>
        </w:rPr>
      </w:r>
    </w:p>
    <w:tbl>
      <w:tblPr>
        <w:tblStyle w:val="Table9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7100"/>
        <w:tblGridChange w:id="0">
          <w:tblGrid>
            <w:gridCol w:w="32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Estilização utilitária, suporte nativo a modo claro/escuro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Gráficos do dashboard (composição de gastos, evolução do score)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Iconografia da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 vanilla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Chamadas fetch() à API, montagem dinâmica do dashboard, i18n PT/EN/ES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7.2 Fluxo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preenche "Sobre Você" — renda mensal, endividamento (%), frequência de poupança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metas por categoria (opcional) — teto de gasto que dispara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 transações do mês, com descrição específica (recomendação explícita da documentação: "Supermercado Extra" gera melhor classificação do que apenas "Compra")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Clica em "Analisar Minhas Finanças" e recebe score, gráficos, alertas e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explorar as abas de Simulador ("E se eu cortasse o Netflix?", sem gravar no histórico), Histórico (evolução do score) e Análise em Lote via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8. Etapa 7 — Infraestrutura em Nuvem (OCI)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Toda a infraestrutura roda na camada Always Free da Oracle Cloud Infrastructure, o que impõe o principal conjunto de restrições de engenharia do projeto: 1 OCPU e 1 GB de RAM na instância de computação.</w:t>
      </w:r>
    </w:p>
    <w:p w:rsidR="00000000" w:rsidDel="00000000" w:rsidP="00000000" w:rsidRDefault="00000000" w:rsidRPr="00000000" w14:paraId="00000124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8.1 Componentes provisionados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Compartment dedicado (finsight-ai), isolando os recursos do projeto no tenancy da OCI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VCN (finsight-vcn, CIDR 10.0.0.0/16) com subrede pública (10.0.1.0/24) e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Instância de Computação finsight-ai-v2 — imagem Canonical Ubuntu 24.04, shape VM.Standard.E2.1.Micro (Always Free), acesso via par de chaves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List liberando TCP 22 (SSH), 80 (HTTP) e 443 (HTTPS) de entrada, e todo o tráfego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Group + Policy — concede à própria instância permissão para ler e gerenciar objetos no bucket do Object Storage, sem chaves de API estáticas na VM (autenticação via Instance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privado hackathon-one-g9-team-20 no Object Storage, com as pastas models/ (5 artefatos .pkl) e datasets/ (dados de treino)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8.2 Por que Instance Principal em vez de API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política do Dynamic Group concede acesso de leitura/gestão de objetos apenas ao bucket específico do projeto, escopado à própria instância — uma prática de menor privilégio que evita armazenar credenciais de longa duração (arquivo ~/.oci/config com chave privada) na VM. Se a VM for comprometida, o invasor herda apenas o escopo de permissões da política, não uma credencial reutilizável fora daquele ambiente.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9. Etapa 8 — Deploy, Automação e Operação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instalação inicial (documentada em detalhe no PDF/HTML de origem) segue cinco fases: acesso SSH, instalação de dependências do sistema, criação de SWAP de 2 GB, estruturação de pastas e ambiente virtual Python, e envio dos arquivos do projeto via scp. A partir da segunda implantação em diante, o processo é automatizado pelo script ATUALIZAR_VM_v4.sh.</w:t>
      </w:r>
    </w:p>
    <w:p w:rsidR="00000000" w:rsidDel="00000000" w:rsidP="00000000" w:rsidRDefault="00000000" w:rsidRPr="00000000" w14:paraId="00000130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9.1 O script de atualização — dez fases automatizadas</w:t>
      </w:r>
      <w:r w:rsidDel="00000000" w:rsidR="00000000" w:rsidRPr="00000000">
        <w:rPr>
          <w:rtl w:val="0"/>
        </w:rPr>
      </w:r>
    </w:p>
    <w:tbl>
      <w:tblPr>
        <w:tblStyle w:val="Table10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00"/>
        <w:gridCol w:w="6700"/>
        <w:tblGridChange w:id="0">
          <w:tblGrid>
            <w:gridCol w:w="500"/>
            <w:gridCol w:w="26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Gestão de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se o SWAP de 2 GB existe; cria e ativa via fallocate/mkswap se necessário (proteção contra OOM Killer)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Backup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Executa o script de rollback em modo backup, ou copia manualmente main.py e index.html para uma pasta com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 virtualenv se ausente; instala/atualiza pacotes Python via pip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do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main.py de ~/ (ou de main.py.new) para o diretório do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Atualização do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index.html para /var/www/finsight, ajustando dono para www-data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Verificação de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Confere a presença local dos 5 artefatos .pkl; se faltarem, sinaliza que o backend tentará sincronizar do OCI na inicialização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Regrava a unit finsight.service com variáveis de ambiente (MODEL_DIR, DATA_DIR, OCI_BUCKET_NAME) e Restart=always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Regrava a configuração de proxy — com suporte opcional a HTTPS via Certbot/Let's Encrypt se um domínio for 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Reinício dos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systemctl daemon-reload + restart finsight + reload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curl em /health; se HTTP 200, imprime URLs de acesso; se falhar, orienta rollback e aponta para os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O script encerra com set -e (aborta no primeiro erro) e a fase final funciona como um health check de aceitação automático — o deploy só é considerado bem-sucedido se o endpoint /health responder 200 após o restart. Isso transforma um script de shell simples em um mini pipeline de CI/CD com verificação de saúde pós-deploy, algo raro de se ver em projetos de hackathon.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9.2 Systemd — por que Restart=always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[Service]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User=ubuntu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WorkingDirectory=/home/ubuntu/finsight-ai/backend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Environment="PATH=/home/ubuntu/finsight-ai/venv/bin"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ExecStart=/home/ubuntu/finsight-ai/venv/bin/uvicorn main:app --host 0.0.0.0 --port 8000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Restart=always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RestartSec=5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Em uma VM com apenas 1 GB de RAM, processos podem ser mortos pelo OOM Killer do kernel sob picos de carga (ex.: ao recarregar os cinco modelos). Restart=always garante que o serviço volte automaticamente, sem intervenção manual — combinado ao SWAP de 2 GB (Fase 0), essa é a segunda camada de defesa contra falta de memória.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10. Etapa 9 — Contrato da API (Referência)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10.1 Endpoints</w:t>
      </w:r>
      <w:r w:rsidDel="00000000" w:rsidR="00000000" w:rsidRPr="00000000">
        <w:rPr>
          <w:rtl w:val="0"/>
        </w:rPr>
      </w:r>
    </w:p>
    <w:tbl>
      <w:tblPr>
        <w:tblStyle w:val="Table1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400"/>
        <w:gridCol w:w="5200"/>
        <w:tblGridChange w:id="0">
          <w:tblGrid>
            <w:gridCol w:w="1200"/>
            <w:gridCol w:w="3400"/>
            <w:gridCol w:w="5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do sistema — modelos carregados, caminho do banco, bucket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/analise-financeira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financeira completa; persiste no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/simular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Mesma análise, sem persistência — usado pelo Simulador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/classificar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 uma única transação (descrição + valor)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/analise-batch-csv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em lote via upload de CSV, agrupado por perfil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análises anteriores (paginação por limit, máx.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/relatorio/{id}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Detalhe de um relatório específico do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/historico/{id}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uma análise específica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/historico/limpar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todo o histórico e executa VACUUM no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/reload-models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Recarrega os 5 artefatos de ML sem reiniciar o processo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10.2 Campos de entrada (POST /analise-financeira)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5600"/>
        <w:tblGridChange w:id="0">
          <w:tblGrid>
            <w:gridCol w:w="2600"/>
            <w:gridCol w:w="16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Obrigatório,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nivel_endividamento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Obrigatório, 0 a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frequencia_poupanca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Obrigatório — apenas "Alta", "Media" ou "Baixa" (sem acento); "Média" com acento retorna 422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Obrigatório, mínimo 1 item — cada item com descricao (string) e valor (number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 — chaves por categoria (alimentacao, transporte, saude, moradia, educacao, lazer, servicos); 0 ou omitido desativa o alerta daquela categoria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10.3 Cálculo do score de saúde (0–1000)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score é uma métrica quantitativa, calculada por uma fórmula ponderada após a definição do perfil (que é qualitativa e vem do modelo de ML ou do fallback). São quatro fatores somados, limitados a 1000:</w:t>
      </w:r>
    </w:p>
    <w:tbl>
      <w:tblPr>
        <w:tblStyle w:val="Table1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5000"/>
        <w:tblGridChange w:id="0">
          <w:tblGrid>
            <w:gridCol w:w="3000"/>
            <w:gridCol w:w="18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Endividamento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max(0, 300 − endividamento ×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Poupança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= 250 · Média = 150 · Baixa =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Proporção de gastos / 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≤30% = 300 · ≤50% = 220 · ≤70% = 140 · ≤90% = 70 · &gt;90% 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Bônus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Saudável = +150 · Em Observação = +70 · Em Risco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Como o bônus de perfil é aplicado depois da classificação, um perfil "Saudável" pode, em cenários extremos, apresentar score numérico abaixo de 700 — sinal de que a métrica quantitativa (score) divergiu da classificação qualitativa (perfil) do modelo. Isso é documentado explicitamente como comportamento esperado, não como bug — mas é um ponto de atenção para quem for evoluir o produto: as duas métricas respondem a perguntas diferentes ("quão bem você está", quantitativo, vs. "em que grupo você se encaixa", qualitativo) e nem sempre precisam concordar perfeitamente.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11. Etapa 10 — Runbook de Operação e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Sequência recomendada de diagnóstico quando algo não está funcionando como esperado.</w:t>
      </w:r>
    </w:p>
    <w:p w:rsidR="00000000" w:rsidDel="00000000" w:rsidP="00000000" w:rsidRDefault="00000000" w:rsidRPr="00000000" w14:paraId="000001A2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VM não responde por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status RUNNING no console OCI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IP público atual (pode mudar dependendo da configuração de rede)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regra de entrada TCP 22 na Security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permissão do arquivo de chave: chmod 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NGINX retorna 502/503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systemctl restart finsight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systemctl status finsight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se a porta 8000 estiver ocupada: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fuser -k 8000/tcp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systemctl restart finsight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finsight.service falha ao iniciar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journalctl -u finsight -n 50 --no-pager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se for módulo Python faltando: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source ~/finsight-ai/venv/bin/activate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pip install fastapi uvicorn pandas scikit-learn numpy joblib oci pydantic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systemctl restart finsight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models_loaded: false no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 sistema continua funcional em modo fallback heurístico (menor precisão de classificação textual, mas a análise nunca para). Para restaurar os modelos de ML:</w:t>
      </w:r>
    </w:p>
    <w:p w:rsidR="00000000" w:rsidDel="00000000" w:rsidP="00000000" w:rsidRDefault="00000000" w:rsidRPr="00000000" w14:paraId="000001AD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ls -lh ~/finsight-ai/models/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oci os object get --bucket-name hackathon-one-g9-team-20 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--name models_vetorizador_tfidf.pkl \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--file ~/finsight-ai/models/vetorizador_tfidf.pkl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curl -X POST http://localhost:8000/reload-models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Out of Memory (OOM)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free -h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se o SWAP não existir: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fallocate -l 2G /swapfile &amp;&amp; sudo chmod 600 /swapfile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mkswap /swapfile &amp;&amp; sudo swapon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Frontend carrega, API não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curl http://localhost:8000/health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curl http://localhost/health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sudo nginx -t &amp;&amp; sudo systemctl reload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Comandos de emergência (referência rápida)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00"/>
        <w:tblGridChange w:id="0">
          <w:tblGrid>
            <w:gridCol w:w="3200"/>
            <w:gridCol w:w="6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journalctl -u finsight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Reiniciar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restart finsight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Reiniciar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systemctl restart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porta 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sudo ss -tlnp | grep 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Memória e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Espaço em 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12. Etapa 11 — Limitações, Riscos e Roadmap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12.1 Limitações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regra que rotula "perfil financeiro" nos dados de treino do Notebook 03 é uma construção de negócio própria da equipe, não um padrão de mercado ou órgão regulador — decisão documentada e defensável, mas que deve ser comunicada como tal a qualquer usuário ou avaliador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dois modelos são treinados sobre dados sintéticos (ainda que ancorados em estatísticas reais do IBGE/BCB) — não há, até este documento, validação com dados reais de usuários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 de 1 GB de RAM é uma restrição rígida de capacidade: não comporta crescimento de carga simultânea sem migração de shape ou arquitetura (ex.: mover modelos para um serviço gerenciado de inferência)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 é adequado para o volume atual de uma VM single-node, mas não escala horizontalmente — uma evolução para múltiplas instâncias exigiria migração para um banco gerenciado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12.2 Pontos fortes a preservar em evoluções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heurístico em duas camadas (categoria e perfil) garante que o produto nunca fique fora do ar por indisponibilidade de modelo — um padrão de resiliência que vale a pena manter mesmo se a infraestrutura crescer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Separação clara entre perfil (qualitativo, via ML) e score (quantitativo, via fórmula) permite evoluir cada um independentemente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de validação por estabelecimento nunca visto (Notebook 02) deve ser o padrão para qualquer novo modelo de classificação de texto adicionado ao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12.3 Sugestões de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Coletar consentimento e dados reais de usuários (mesmo que anonimizados) para validar — e, se necessário, recalibrar — a regra de negócio de perfil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Migrar o histórico de SQLite para um serviço de banco gerenciado, caso o produto saia da camada Always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testes automatizados de regressão para os dois modelos (o tipo de teste que teria pego, sozinho, tanto o bug do vocabulário "Combustivel" quanto a armadilha do split aleatório, sem depender de descoberta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HTTPS via Certbot como padrão (o script já suporta, mas depende de domínio configurado) antes de qualquer uso com dados sensíveis de usuários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12.4 Glossário rápido</w:t>
      </w:r>
      <w:r w:rsidDel="00000000" w:rsidR="00000000" w:rsidRPr="00000000">
        <w:rPr>
          <w:rtl w:val="0"/>
        </w:rPr>
      </w:r>
    </w:p>
    <w:tbl>
      <w:tblPr>
        <w:tblStyle w:val="Table1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00"/>
        <w:tblGridChange w:id="0">
          <w:tblGrid>
            <w:gridCol w:w="22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 Frequency–Inverse Document Frequency — técnica que converte texto em números, dando mais peso a palavras raras e discriminativas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F1-macro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do F1-score de cada classe, sem ponderar por tamanho — penaliza modelos que só acertam a classe majoritária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Fallback 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de regras de negócio fixas que assume quando o modelo de ML não está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Instance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Mecanismo de identidade da OCI que autentica a própria VM, sem chave de API estática armazenada em disco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 Killer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Mecanismo do kernel Linux que encerra processos à força quando a memória disponível se esgota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Espaço em disco usado como extensão da RAM quando a memória física se esgota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Anexo A — Guia de Decisão: Integração do Back-end (Java vs.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Registrado pela frente de Ciência de Dados como apoio à decisão do time de Back-end, antes da escolha final documentada nas Etapas 5 a 9 deste documento (que adotou a Opção B).</w:t>
      </w:r>
    </w:p>
    <w:p w:rsidR="00000000" w:rsidDel="00000000" w:rsidP="00000000" w:rsidRDefault="00000000" w:rsidRPr="00000000" w14:paraId="000001E3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A.1 O problema de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Os modelos estão serializados em formato .pkl (biblioteca joblib), específico do ecossistema Python — não existe biblioteca Java nativa capaz de carregá-lo. O edital recomendava Java/Spring Boot como preferência, não como exigência ("a equipe deverá desenvolver uma API REST, preferencialmente utilizando Java com Spring Boot"); os requisitos mínimos reais eram API REST, resposta em JSON e integração com ao menos um serviço OCI — o que deixava aberta a escolha da linguagem mais viável dentro do prazo.</w:t>
      </w:r>
    </w:p>
    <w:p w:rsidR="00000000" w:rsidDel="00000000" w:rsidP="00000000" w:rsidRDefault="00000000" w:rsidRPr="00000000" w14:paraId="000001E5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A.2 Opção A — Manter o back-end em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API Java não carregaria os modelos diretamente: uma OCI Function (ambiente Python) hospedaria o pipeline de inferência completo, e a API Java faria uma chamada HTTP interna a essa função, repassando a resposta ao cliente final.</w:t>
      </w:r>
    </w:p>
    <w:p w:rsidR="00000000" w:rsidDel="00000000" w:rsidP="00000000" w:rsidRDefault="00000000" w:rsidRPr="00000000" w14:paraId="000001E7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App do usuário → API Java (Spring Boot) → OCI Function (Python) → modelos .pkl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        ↑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        └──────── JSON 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A.3 Opção B — Migrar o back-end para Python (a escolha adotada)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 própria API Python carrega os modelos diretamente com joblib.load(), sem camada intermediária.</w:t>
      </w:r>
    </w:p>
    <w:p w:rsidR="00000000" w:rsidDel="00000000" w:rsidP="00000000" w:rsidRDefault="00000000" w:rsidRPr="00000000" w14:paraId="000001EA">
      <w:pPr>
        <w:pBdr>
          <w:top w:color="444444" w:space="0" w:sz="4" w:val="single"/>
          <w:left w:color="444444" w:space="0" w:sz="4" w:val="single"/>
          <w:bottom w:color="444444" w:space="0" w:sz="4" w:val="single"/>
          <w:right w:color="444444" w:space="0" w:sz="4" w:val="single"/>
        </w:pBdr>
        <w:shd w:fill="1e1e1e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App do usuário → API Python (FastAPI) → modelos .pkl (mesmo processo)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A.4 Tabela-resumo comparativa</w:t>
      </w: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00"/>
        <w:gridCol w:w="3300"/>
        <w:tblGridChange w:id="0">
          <w:tblGrid>
            <w:gridCol w:w="26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 A — Java + OCI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Opção B — Python (FastAPI)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Complexidade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(2 linguagens, 2 deploys)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 (1 linguagem, 1 deploy)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Serviços OCI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OCI Functions (+ Object Storage 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OCI Object Storage + OCI Compute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Alinhamento com o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Segue a preferência declarada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Ainda permitido, não é a preferência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Reaproveitamento do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 (adaptar para handler de Function)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Quase total (mesmas funções 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 de API "de graça"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 (Swagger via 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Risco de bugs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Por que a Opção B foi a escolha final: </w:t>
      </w:r>
      <w:r w:rsidDel="00000000" w:rsidR="00000000" w:rsidRPr="00000000">
        <w:rPr>
          <w:color w:val="5c4200"/>
          <w:rtl w:val="0"/>
        </w:rPr>
        <w:t xml:space="preserve">A Opção B venceu não só por velocidade de entrega, mas porque elimina de vez a barreira Python↔Java, reaproveita quase sem alteração o código do pipeline da Etapa 4, e entrega de graça dois requisitos do edital (documentação Swagger automática e validação de entrada via Pydantic) que, na Opção A, exigiriam esforço extra na camada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pBdr>
          <w:bottom w:color="1f3864" w:space="4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Anexo B — Revisão de Notebooks: Versão Original vs. Versão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Após concluir as 7 fases do processo (4 de dados, coberta na Etapa 1, e 2 de modelagem, cobertas nas Etapas 2–4 deste documento), o projeto passou por uma segunda revisão, com o objetivo de reduzir a quantidade de notebooks e células mantendo o mesmo resultado técnico — um código mais limpo e mais fácil de apresentar e avaliar. A produção original não foi apagada: as duas versões coexistem em pastas separadas do Google Drive (raiz do projeto para a Versão 1; versao_revisada_final/ para a versão enxuta usada neste documento).</w:t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3400"/>
        <w:tblGridChange w:id="0">
          <w:tblGrid>
            <w:gridCol w:w="30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1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 Final (enxuta)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foi unificado/simplificado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01_eda_pof.ipynb (múltiplas células, incl. tentativas da Tabela 418)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01_dados_final.ipynb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Tentativas da Tabela 418 mantidas só em texto explicativo, não em código executável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02_dataset_sintetico.ipynb (4 rodadas de correção do vocabulário)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unificado ao Notebook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Unificado por dependência direta; mantida só a versão final do vocabulário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03_modelo_categoria.ipynb (incl. diagnóstico de overfitting)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02_modelo_categoria_final.ipynb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Metodologia final consolidada numa única célula; diagnóstico resumido em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04_modelo_perfil.ipynb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03_modelo_perfil_final.ipynb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Mesma lógica, código consolidado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05_pipeline_final.ipynb (incl. investigação do erro "Combustível")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04_pipeline_integracao_final.ipynb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Mesma lógica; investigação resumida em 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Resultado da unificação: de 5 notebooks para 4, e de dezenas de células (fruto do processo iterativo real de correção) para 8 células ao todo (4 de texto + 4 de código).</w:t>
      </w:r>
    </w:p>
    <w:p w:rsidR="00000000" w:rsidDel="00000000" w:rsidP="00000000" w:rsidRDefault="00000000" w:rsidRPr="00000000" w14:paraId="00000218">
      <w:pPr>
        <w:pStyle w:val="Heading2"/>
        <w:spacing w:after="120" w:before="3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B.1 O que foi ganho, e o que foi preservado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Legibilidade para avaliação: o raciocínio completo do projeto pode ser lido em poucos minutos, sem navegar por tentativas de correção já superadas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mais robusta: cada notebook roda do início ao fim com "Executar tudo", sem os erros de NameError/FileNotFoundError que ocorreram repetidamente na versão original (causados por células executadas fora de ordem)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perda de rigor metodológico: validação cruzada, treino final com 100% dos dados e comparação entre modelos permanecem intactos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idênticos entre as duas versões: 86,79% de acurácia média no modelo de categoria e F1-macro de 0,9933 no modelo de perfil, confirmando que a limpeza não introduziu nenhuma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e8a33d" w:space="0" w:sz="24" w:val="single"/>
        </w:pBdr>
        <w:shd w:fill="fff4e5" w:val="clear"/>
        <w:spacing w:after="200" w:before="120" w:lineRule="auto"/>
        <w:ind w:left="200" w:firstLine="0"/>
        <w:rPr/>
      </w:pPr>
      <w:r w:rsidDel="00000000" w:rsidR="00000000" w:rsidRPr="00000000">
        <w:rPr>
          <w:b w:val="1"/>
          <w:bCs w:val="1"/>
          <w:color w:val="8a5a00"/>
          <w:rtl w:val="0"/>
        </w:rPr>
        <w:t xml:space="preserve">Nota técnica: </w:t>
      </w:r>
      <w:r w:rsidDel="00000000" w:rsidR="00000000" w:rsidRPr="00000000">
        <w:rPr>
          <w:color w:val="5c4200"/>
          <w:rtl w:val="0"/>
        </w:rPr>
        <w:t xml:space="preserve">O histórico completo de tentativas, erros e descobertas (a Tabela 418 descartada, as 4 rodadas de correção de vocabulário, a instabilidade de sorteio único) não foi perdido — está preservado no documento fonte Documentacao_tecnica_BASE_DADOS.md, que serviu de base para a Etapa 1 deste Word. A versão final dos notebooks contém apenas resumos textuais desse histórico, com referência explícita a esse documento para quem quiser o detalhamento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— Fim do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F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FinSight AI — Documentação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8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6DJjo1ySwYv/5dWpj4nU3VvEig==">CgMxLjA4AHIhMXllb1pjWEtYMDh3dWxwaDlqdjFHaE8xUS04Z2NqVmxO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