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30"/>
          <w:szCs w:val="30"/>
          <w:rtl w:val="0"/>
        </w:rPr>
        <w:t xml:space="preserve">EVIDENCIA DE PRUEBAS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9"/>
        <w:gridCol w:w="1800"/>
        <w:gridCol w:w="1560"/>
        <w:gridCol w:w="1561"/>
        <w:gridCol w:w="1553"/>
        <w:gridCol w:w="7"/>
        <w:gridCol w:w="1560"/>
        <w:tblGridChange w:id="0">
          <w:tblGrid>
            <w:gridCol w:w="1319"/>
            <w:gridCol w:w="1800"/>
            <w:gridCol w:w="1560"/>
            <w:gridCol w:w="1561"/>
            <w:gridCol w:w="1553"/>
            <w:gridCol w:w="7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27/05/2026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1.0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Plataforma: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Web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URL: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Local</w:t>
            </w:r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http://localhost:5173/approval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Pasa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  <w:sz w:val="20"/>
                <w:szCs w:val="20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Resumen: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Comprobar la recopilación de datos generados por la comunidad para ser analizados por la 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Defecto: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Tester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Jorge Enrique Briches 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1.-Fuentes de información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2.- Generar contenido por comunidad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416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41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810250" cy="326453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Nota: Me recuerda que ya generó el contenido semanal de esa comunidad.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4yI7JR4PF8KDSWV1Gqq03v8wA==">CgMxLjA4AHIhMXBjSVA3VlVnTjdvMmVuYV9lLWFSRmhYcVMtVVNhcHFQ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