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75A"/>
          <w:sz w:val="56"/>
        </w:rPr>
        <w:t>BENCHMARK DE MADUREZ</w:t>
        <w:br/>
        <w:t>PARA DATA CENTERS</w:t>
      </w:r>
    </w:p>
    <w:p>
      <w:pPr>
        <w:jc w:val="center"/>
      </w:pPr>
      <w:r>
        <w:rPr>
          <w:color w:val="4169A1"/>
          <w:sz w:val="32"/>
        </w:rPr>
        <w:t>Arquitectura, Skill, AGENTS.md y ADR para construir el proyecto en Kiro</w:t>
      </w:r>
    </w:p>
    <w:p/>
    <w:p>
      <w:pPr>
        <w:jc w:val="center"/>
      </w:pPr>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benchmark_architecture_diagram.png"/>
                    <pic:cNvPicPr/>
                  </pic:nvPicPr>
                  <pic:blipFill>
                    <a:blip r:embed="rId11"/>
                    <a:stretch>
                      <a:fillRect/>
                    </a:stretch>
                  </pic:blipFill>
                  <pic:spPr>
                    <a:xfrm>
                      <a:off x="0" y="0"/>
                      <a:ext cx="6217920" cy="3454400"/>
                    </a:xfrm>
                    <a:prstGeom prst="rect"/>
                  </pic:spPr>
                </pic:pic>
              </a:graphicData>
            </a:graphic>
          </wp:inline>
        </w:drawing>
      </w:r>
    </w:p>
    <w:p>
      <w:pPr>
        <w:jc w:val="center"/>
      </w:pPr>
      <w:r>
        <w:rPr>
          <w:i/>
        </w:rPr>
        <w:t>Versión 1.0  |  3 de agosto de 2026</w:t>
      </w:r>
    </w:p>
    <w:p>
      <w:pPr>
        <w:jc w:val="center"/>
      </w:pPr>
      <w:r>
        <w:rPr>
          <w:color w:val="5A6069"/>
        </w:rPr>
        <w:t>Documento sin código de aplicación. Diseñado como fuente para un flujo Design-First.</w:t>
      </w:r>
    </w:p>
    <w:p>
      <w:r>
        <w:br w:type="page"/>
      </w:r>
    </w:p>
    <w:p>
      <w:pPr>
        <w:pStyle w:val="Heading1"/>
        <w:keepNext/>
      </w:pPr>
      <w:r>
        <w:t>Resumen ejecutivo</w:t>
      </w:r>
    </w:p>
    <w:p>
      <w:r>
        <w:t>El proyecto debe construirse como un sistema de benchmark determinista, reproducible y privado. La función del sistema es transformar un diagnóstico anónimo en cinco scores, seleccionar una comparación adecuada, calcular percentiles, identificar la fricción principal, describir diferencias con el cuartil superior y alimentar un dataset agregado que mejora con el tiempo.</w:t>
      </w:r>
    </w:p>
    <w:tbl>
      <w:tblPr>
        <w:tblW w:type="auto" w:w="0"/>
        <w:jc w:val="center"/>
        <w:tblLook w:firstColumn="1" w:firstRow="1" w:lastColumn="0" w:lastRow="0" w:noHBand="0" w:noVBand="1" w:val="04A0"/>
      </w:tblPr>
      <w:tblGrid>
        <w:gridCol w:w="9936"/>
      </w:tblGrid>
      <w:tr>
        <w:tc>
          <w:tcPr>
            <w:tcW w:type="dxa" w:w="9936"/>
            <w:shd w:fill="E8F0FA"/>
            <w:tcMar>
              <w:top w:w="160" w:type="dxa"/>
              <w:start w:w="180" w:type="dxa"/>
              <w:bottom w:w="160" w:type="dxa"/>
              <w:end w:w="180" w:type="dxa"/>
            </w:tcMar>
          </w:tcPr>
          <w:p>
            <w:r>
              <w:rPr>
                <w:b/>
                <w:color w:val="1C375A"/>
              </w:rPr>
              <w:t xml:space="preserve">Recomendación principal: </w:t>
            </w:r>
            <w:r>
              <w:t>Separar el procesamiento online de la construcción del benchmark. El operador debe ser comparado contra un snapshot publicado e inmutable; el rebalanceo, los agregados y el backtesting deben ejecutarse offline y publicarse mediante una revisión controlada.</w:t>
            </w:r>
          </w:p>
        </w:tc>
      </w:tr>
    </w:tbl>
    <w:p/>
    <w:p>
      <w:r>
        <w:t>La propuesta de incorporar un motor de validación y un motor de privacidad/agregación es correcta. Sin embargo, ambos son fronteras arquitectónicas: la validación controla qué información entra al sistema analítico y la privacidad controla qué se persiste, agrega y expone.</w:t>
      </w:r>
    </w:p>
    <w:p>
      <w:pPr>
        <w:pStyle w:val="ListBullet"/>
      </w:pPr>
      <w:r>
        <w:t>Arquitectura inicial: modular monolith, FastAPI, Python y PostgreSQL.</w:t>
      </w:r>
    </w:p>
    <w:p>
      <w:pPr>
        <w:pStyle w:val="ListBullet"/>
      </w:pPr>
      <w:r>
        <w:t>Ocho motores de dominio con una sola responsabilidad.</w:t>
      </w:r>
    </w:p>
    <w:p>
      <w:pPr>
        <w:pStyle w:val="ListBullet"/>
      </w:pPr>
      <w:r>
        <w:t>Reglas, pesos, cohortes y parámetros versionados; nunca ocultos en prompts.</w:t>
      </w:r>
    </w:p>
    <w:p>
      <w:pPr>
        <w:pStyle w:val="ListBullet"/>
      </w:pPr>
      <w:r>
        <w:t>Rebalanceo dinámico por dimensión y cohorte, basado en evidencia efectiva.</w:t>
      </w:r>
    </w:p>
    <w:p>
      <w:pPr>
        <w:pStyle w:val="ListBullet"/>
      </w:pPr>
      <w:r>
        <w:t>LLM opcional para redacción, fuera del camino estadístico.</w:t>
      </w:r>
    </w:p>
    <w:p>
      <w:pPr>
        <w:pStyle w:val="ListBullet"/>
      </w:pPr>
      <w:r>
        <w:t>Paquete Kiro con AGENTS.md, steering, skill, spec y diez ADR.</w:t>
      </w:r>
    </w:p>
    <w:p>
      <w:pPr>
        <w:pStyle w:val="Heading2"/>
        <w:keepNext/>
      </w:pPr>
      <w:r>
        <w:t>Contenido del documento</w:t>
      </w:r>
    </w:p>
    <w:p>
      <w:pPr>
        <w:ind w:left="259" w:hanging="259"/>
      </w:pPr>
      <w:r>
        <w:rPr>
          <w:b/>
        </w:rPr>
        <w:t xml:space="preserve">1. </w:t>
      </w:r>
      <w:r>
        <w:t>Problema, alcance y principios.</w:t>
      </w:r>
    </w:p>
    <w:p>
      <w:pPr>
        <w:ind w:left="259" w:hanging="259"/>
      </w:pPr>
      <w:r>
        <w:rPr>
          <w:b/>
        </w:rPr>
        <w:t xml:space="preserve">2. </w:t>
      </w:r>
      <w:r>
        <w:t>Arquitectura del sistema y flujo de datos.</w:t>
      </w:r>
    </w:p>
    <w:p>
      <w:pPr>
        <w:ind w:left="259" w:hanging="259"/>
      </w:pPr>
      <w:r>
        <w:rPr>
          <w:b/>
        </w:rPr>
        <w:t xml:space="preserve">3. </w:t>
      </w:r>
      <w:r>
        <w:t>Diseño de los ocho motores.</w:t>
      </w:r>
    </w:p>
    <w:p>
      <w:pPr>
        <w:ind w:left="259" w:hanging="259"/>
      </w:pPr>
      <w:r>
        <w:rPr>
          <w:b/>
        </w:rPr>
        <w:t xml:space="preserve">4. </w:t>
      </w:r>
      <w:r>
        <w:t>Metodología de scoring, cohortes, percentiles y top quartile.</w:t>
      </w:r>
    </w:p>
    <w:p>
      <w:pPr>
        <w:ind w:left="259" w:hanging="259"/>
      </w:pPr>
      <w:r>
        <w:rPr>
          <w:b/>
        </w:rPr>
        <w:t xml:space="preserve">5. </w:t>
      </w:r>
      <w:r>
        <w:t>Rebalanceo dinámico público/primario.</w:t>
      </w:r>
    </w:p>
    <w:p>
      <w:pPr>
        <w:ind w:left="259" w:hanging="259"/>
      </w:pPr>
      <w:r>
        <w:rPr>
          <w:b/>
        </w:rPr>
        <w:t xml:space="preserve">6. </w:t>
      </w:r>
      <w:r>
        <w:t>Privacidad, agregación y modelo de datos.</w:t>
      </w:r>
    </w:p>
    <w:p>
      <w:pPr>
        <w:ind w:left="259" w:hanging="259"/>
      </w:pPr>
      <w:r>
        <w:rPr>
          <w:b/>
        </w:rPr>
        <w:t xml:space="preserve">7. </w:t>
      </w:r>
      <w:r>
        <w:t>Contratos de resultado y PDF.</w:t>
      </w:r>
    </w:p>
    <w:p>
      <w:pPr>
        <w:ind w:left="259" w:hanging="259"/>
      </w:pPr>
      <w:r>
        <w:rPr>
          <w:b/>
        </w:rPr>
        <w:t xml:space="preserve">8. </w:t>
      </w:r>
      <w:r>
        <w:t>Pruebas, backtesting y gobernanza.</w:t>
      </w:r>
    </w:p>
    <w:p>
      <w:pPr>
        <w:ind w:left="259" w:hanging="259"/>
      </w:pPr>
      <w:r>
        <w:rPr>
          <w:b/>
        </w:rPr>
        <w:t xml:space="preserve">9. </w:t>
      </w:r>
      <w:r>
        <w:t>Uso del paquete en Kiro.</w:t>
      </w:r>
    </w:p>
    <w:p>
      <w:pPr>
        <w:ind w:left="259" w:hanging="259"/>
      </w:pPr>
      <w:r>
        <w:rPr>
          <w:b/>
        </w:rPr>
        <w:t xml:space="preserve">10. </w:t>
      </w:r>
      <w:r>
        <w:t>Roadmap y decisiones ADR.</w:t>
      </w:r>
    </w:p>
    <w:p>
      <w:r>
        <w:br w:type="page"/>
      </w:r>
    </w:p>
    <w:p>
      <w:pPr>
        <w:pStyle w:val="Heading1"/>
        <w:keepNext/>
      </w:pPr>
      <w:r>
        <w:t>1. Problema, objetivo y alcance</w:t>
      </w:r>
    </w:p>
    <w:p>
      <w:pPr>
        <w:pStyle w:val="Heading2"/>
        <w:keepNext/>
      </w:pPr>
      <w:r>
        <w:t>1.1 Problema de negocio</w:t>
      </w:r>
    </w:p>
    <w:p>
      <w:r>
        <w:t>La capacidad pagada y encendida puede quedar varada cuando energía, cooling y workloads se gestionan como capas separadas. El benchmark busca medir el grado de coordinación entre esas capas y devolver al operador una referencia relativa que hoy no está disponible en una fuente sectorial suficientemente específica.</w:t>
      </w:r>
    </w:p>
    <w:p>
      <w:pPr>
        <w:pStyle w:val="Heading2"/>
        <w:keepNext/>
      </w:pPr>
      <w:r>
        <w:t>1.2 Reciprocidad del producto</w:t>
      </w:r>
    </w:p>
    <w:p>
      <w:r>
        <w:t>El operador entrega un diagnóstico anónimo y recibe valor inmediato: posición relativa, perfil de fricción y diferencias observables frente a operadores más maduros. La respuesta, después de validación y anonimización, mejora el dataset primario.</w:t>
      </w:r>
    </w:p>
    <w:p>
      <w:pPr>
        <w:pStyle w:val="Heading2"/>
        <w:keepNext/>
      </w:pPr>
      <w:r>
        <w:t>1.3 Criterios de éxito</w:t>
      </w:r>
    </w:p>
    <w:p>
      <w:pPr>
        <w:pStyle w:val="ListBullet"/>
      </w:pPr>
      <w:r>
        <w:t>El diagnóstico puede completarse en menos de diez minutos.</w:t>
      </w:r>
    </w:p>
    <w:p>
      <w:pPr>
        <w:pStyle w:val="ListBullet"/>
      </w:pPr>
      <w:r>
        <w:t>El resultado revela una diferencia específica, no una recomendación genérica.</w:t>
      </w:r>
    </w:p>
    <w:p>
      <w:pPr>
        <w:pStyle w:val="ListBullet"/>
      </w:pPr>
      <w:r>
        <w:t>La respuesta se incorpora al dataset sin exponer información individual.</w:t>
      </w:r>
    </w:p>
    <w:p>
      <w:pPr>
        <w:pStyle w:val="ListBullet"/>
      </w:pPr>
      <w:r>
        <w:t>El resultado puede reproducirse usando las versiones y el snapshot guardados.</w:t>
      </w:r>
    </w:p>
    <w:p>
      <w:pPr>
        <w:pStyle w:val="ListBullet"/>
      </w:pPr>
      <w:r>
        <w:t>El peso de evidencia primaria aumenta solo cuando existe madurez estadística suficiente.</w:t>
      </w:r>
    </w:p>
    <w:p>
      <w:pPr>
        <w:pStyle w:val="Heading2"/>
        <w:keepNext/>
      </w:pPr>
      <w:r>
        <w:t>1.4 Alcance del MVP</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C375A"/>
            <w:vAlign w:val="center"/>
            <w:tcMar>
              <w:top w:w="90" w:type="dxa"/>
              <w:start w:w="90" w:type="dxa"/>
              <w:bottom w:w="90" w:type="dxa"/>
              <w:end w:w="90" w:type="dxa"/>
            </w:tcMar>
          </w:tcPr>
          <w:p>
            <w:pPr>
              <w:jc w:val="center"/>
            </w:pPr>
            <w:r>
              <w:rPr>
                <w:b/>
                <w:color w:val="FFFFFF"/>
                <w:sz w:val="18"/>
              </w:rPr>
              <w:t>Incluye</w:t>
            </w:r>
          </w:p>
        </w:tc>
        <w:tc>
          <w:tcPr>
            <w:tcW w:type="dxa" w:w="4968"/>
            <w:shd w:fill="1C375A"/>
            <w:vAlign w:val="center"/>
            <w:tcMar>
              <w:top w:w="90" w:type="dxa"/>
              <w:start w:w="90" w:type="dxa"/>
              <w:bottom w:w="90" w:type="dxa"/>
              <w:end w:w="90" w:type="dxa"/>
            </w:tcMar>
          </w:tcPr>
          <w:p>
            <w:pPr>
              <w:jc w:val="center"/>
            </w:pPr>
            <w:r>
              <w:rPr>
                <w:b/>
                <w:color w:val="FFFFFF"/>
                <w:sz w:val="18"/>
              </w:rPr>
              <w:t>No incluye</w:t>
            </w:r>
          </w:p>
        </w:tc>
      </w:tr>
      <w:tr>
        <w:tc>
          <w:tcPr>
            <w:tcW w:type="dxa" w:w="4968"/>
            <w:vAlign w:val="top"/>
            <w:tcMar>
              <w:top w:w="80" w:type="dxa"/>
              <w:start w:w="90" w:type="dxa"/>
              <w:bottom w:w="80" w:type="dxa"/>
              <w:end w:w="90" w:type="dxa"/>
            </w:tcMar>
          </w:tcPr>
          <w:p>
            <w:r>
              <w:rPr>
                <w:b/>
                <w:sz w:val="17"/>
              </w:rPr>
              <w:t>Cinco dimensiones y ocho motores</w:t>
            </w:r>
          </w:p>
        </w:tc>
        <w:tc>
          <w:tcPr>
            <w:tcW w:type="dxa" w:w="4968"/>
            <w:vAlign w:val="top"/>
            <w:tcMar>
              <w:top w:w="80" w:type="dxa"/>
              <w:start w:w="90" w:type="dxa"/>
              <w:bottom w:w="80" w:type="dxa"/>
              <w:end w:w="90" w:type="dxa"/>
            </w:tcMar>
          </w:tcPr>
          <w:p>
            <w:r>
              <w:rPr>
                <w:sz w:val="17"/>
              </w:rPr>
              <w:t>Machine Learning para scoring</w:t>
            </w:r>
          </w:p>
        </w:tc>
      </w:tr>
      <w:tr>
        <w:tc>
          <w:tcPr>
            <w:tcW w:type="dxa" w:w="4968"/>
            <w:vAlign w:val="top"/>
            <w:tcMar>
              <w:top w:w="80" w:type="dxa"/>
              <w:start w:w="90" w:type="dxa"/>
              <w:bottom w:w="80" w:type="dxa"/>
              <w:end w:w="90" w:type="dxa"/>
            </w:tcMar>
          </w:tcPr>
          <w:p>
            <w:r>
              <w:rPr>
                <w:b/>
                <w:sz w:val="17"/>
              </w:rPr>
              <w:t>API, persistencia y snapshots</w:t>
            </w:r>
          </w:p>
        </w:tc>
        <w:tc>
          <w:tcPr>
            <w:tcW w:type="dxa" w:w="4968"/>
            <w:vAlign w:val="top"/>
            <w:tcMar>
              <w:top w:w="80" w:type="dxa"/>
              <w:start w:w="90" w:type="dxa"/>
              <w:bottom w:w="80" w:type="dxa"/>
              <w:end w:w="90" w:type="dxa"/>
            </w:tcMar>
          </w:tcPr>
          <w:p>
            <w:r>
              <w:rPr>
                <w:sz w:val="17"/>
              </w:rPr>
              <w:t>Microservicios</w:t>
            </w:r>
          </w:p>
        </w:tc>
      </w:tr>
      <w:tr>
        <w:tc>
          <w:tcPr>
            <w:tcW w:type="dxa" w:w="4968"/>
            <w:vAlign w:val="top"/>
            <w:tcMar>
              <w:top w:w="80" w:type="dxa"/>
              <w:start w:w="90" w:type="dxa"/>
              <w:bottom w:w="80" w:type="dxa"/>
              <w:end w:w="90" w:type="dxa"/>
            </w:tcMar>
          </w:tcPr>
          <w:p>
            <w:r>
              <w:rPr>
                <w:b/>
                <w:sz w:val="17"/>
              </w:rPr>
              <w:t>Percentiles, confianza y top 25 %</w:t>
            </w:r>
          </w:p>
        </w:tc>
        <w:tc>
          <w:tcPr>
            <w:tcW w:type="dxa" w:w="4968"/>
            <w:vAlign w:val="top"/>
            <w:tcMar>
              <w:top w:w="80" w:type="dxa"/>
              <w:start w:w="90" w:type="dxa"/>
              <w:bottom w:w="80" w:type="dxa"/>
              <w:end w:w="90" w:type="dxa"/>
            </w:tcMar>
          </w:tcPr>
          <w:p>
            <w:r>
              <w:rPr>
                <w:sz w:val="17"/>
              </w:rPr>
              <w:t>Score general no validado</w:t>
            </w:r>
          </w:p>
        </w:tc>
      </w:tr>
      <w:tr>
        <w:tc>
          <w:tcPr>
            <w:tcW w:type="dxa" w:w="4968"/>
            <w:vAlign w:val="top"/>
            <w:tcMar>
              <w:top w:w="80" w:type="dxa"/>
              <w:start w:w="90" w:type="dxa"/>
              <w:bottom w:w="80" w:type="dxa"/>
              <w:end w:w="90" w:type="dxa"/>
            </w:tcMar>
          </w:tcPr>
          <w:p>
            <w:r>
              <w:rPr>
                <w:b/>
                <w:sz w:val="17"/>
              </w:rPr>
              <w:t>Privacidad y agregación</w:t>
            </w:r>
          </w:p>
        </w:tc>
        <w:tc>
          <w:tcPr>
            <w:tcW w:type="dxa" w:w="4968"/>
            <w:vAlign w:val="top"/>
            <w:tcMar>
              <w:top w:w="80" w:type="dxa"/>
              <w:start w:w="90" w:type="dxa"/>
              <w:bottom w:w="80" w:type="dxa"/>
              <w:end w:w="90" w:type="dxa"/>
            </w:tcMar>
          </w:tcPr>
          <w:p>
            <w:r>
              <w:rPr>
                <w:sz w:val="17"/>
              </w:rPr>
              <w:t>Identificación del facility</w:t>
            </w:r>
          </w:p>
        </w:tc>
      </w:tr>
      <w:tr>
        <w:tc>
          <w:tcPr>
            <w:tcW w:type="dxa" w:w="4968"/>
            <w:vAlign w:val="top"/>
            <w:tcMar>
              <w:top w:w="80" w:type="dxa"/>
              <w:start w:w="90" w:type="dxa"/>
              <w:bottom w:w="80" w:type="dxa"/>
              <w:end w:w="90" w:type="dxa"/>
            </w:tcMar>
          </w:tcPr>
          <w:p>
            <w:r>
              <w:rPr>
                <w:b/>
                <w:sz w:val="17"/>
              </w:rPr>
              <w:t>Payload para PDF</w:t>
            </w:r>
          </w:p>
        </w:tc>
        <w:tc>
          <w:tcPr>
            <w:tcW w:type="dxa" w:w="4968"/>
            <w:vAlign w:val="top"/>
            <w:tcMar>
              <w:top w:w="80" w:type="dxa"/>
              <w:start w:w="90" w:type="dxa"/>
              <w:bottom w:w="80" w:type="dxa"/>
              <w:end w:w="90" w:type="dxa"/>
            </w:tcMar>
          </w:tcPr>
          <w:p>
            <w:r>
              <w:rPr>
                <w:sz w:val="17"/>
              </w:rPr>
              <w:t>Publicación automática de metodología</w:t>
            </w:r>
          </w:p>
        </w:tc>
      </w:tr>
      <w:tr>
        <w:tc>
          <w:tcPr>
            <w:tcW w:type="dxa" w:w="4968"/>
            <w:vAlign w:val="top"/>
            <w:tcMar>
              <w:top w:w="80" w:type="dxa"/>
              <w:start w:w="90" w:type="dxa"/>
              <w:bottom w:w="80" w:type="dxa"/>
              <w:end w:w="90" w:type="dxa"/>
            </w:tcMar>
          </w:tcPr>
          <w:p>
            <w:r>
              <w:rPr>
                <w:b/>
                <w:sz w:val="17"/>
              </w:rPr>
              <w:t>Backtesting y versionado</w:t>
            </w:r>
          </w:p>
        </w:tc>
        <w:tc>
          <w:tcPr>
            <w:tcW w:type="dxa" w:w="4968"/>
            <w:vAlign w:val="top"/>
            <w:tcMar>
              <w:top w:w="80" w:type="dxa"/>
              <w:start w:w="90" w:type="dxa"/>
              <w:bottom w:w="80" w:type="dxa"/>
              <w:end w:w="90" w:type="dxa"/>
            </w:tcMar>
          </w:tcPr>
          <w:p>
            <w:r>
              <w:rPr>
                <w:sz w:val="17"/>
              </w:rPr>
              <w:t>LLM como calculadora estadística</w:t>
            </w:r>
          </w:p>
        </w:tc>
      </w:tr>
    </w:tbl>
    <w:p>
      <w:pPr>
        <w:pStyle w:val="Heading1"/>
        <w:keepNext/>
      </w:pPr>
      <w:r>
        <w:t>2. Arquitectura recomendada</w:t>
      </w:r>
    </w:p>
    <w:p>
      <w:pPr>
        <w:jc w:val="center"/>
      </w:pPr>
      <w:r>
        <w:drawing>
          <wp:inline xmlns:a="http://schemas.openxmlformats.org/drawingml/2006/main" xmlns:pic="http://schemas.openxmlformats.org/drawingml/2006/picture">
            <wp:extent cx="6309360" cy="3505200"/>
            <wp:docPr id="2" name="Picture 2"/>
            <wp:cNvGraphicFramePr>
              <a:graphicFrameLocks noChangeAspect="1"/>
            </wp:cNvGraphicFramePr>
            <a:graphic>
              <a:graphicData uri="http://schemas.openxmlformats.org/drawingml/2006/picture">
                <pic:pic>
                  <pic:nvPicPr>
                    <pic:cNvPr id="0" name="benchmark_architecture_diagram.png"/>
                    <pic:cNvPicPr/>
                  </pic:nvPicPr>
                  <pic:blipFill>
                    <a:blip r:embed="rId11"/>
                    <a:stretch>
                      <a:fillRect/>
                    </a:stretch>
                  </pic:blipFill>
                  <pic:spPr>
                    <a:xfrm>
                      <a:off x="0" y="0"/>
                      <a:ext cx="6309360" cy="3505200"/>
                    </a:xfrm>
                    <a:prstGeom prst="rect"/>
                  </pic:spPr>
                </pic:pic>
              </a:graphicData>
            </a:graphic>
          </wp:inline>
        </w:drawing>
      </w:r>
    </w:p>
    <w:p>
      <w:pPr>
        <w:pStyle w:val="Heading2"/>
        <w:keepNext/>
      </w:pPr>
      <w:r>
        <w:t>2.1 Modular monolith</w:t>
      </w:r>
    </w:p>
    <w:p>
      <w:r>
        <w:t>El MVP debe desplegarse como una sola aplicación con módulos internos bien delimitados. Esta decisión reduce complejidad operativa sin renunciar a separación de responsabilidades, pruebas aisladas y una futura extracción de servicios si aparece una necesidad real de escalado, seguridad u ownership.</w:t>
      </w:r>
    </w:p>
    <w:p>
      <w:pPr>
        <w:pStyle w:val="Heading2"/>
        <w:keepNext/>
      </w:pPr>
      <w:r>
        <w:t>2.2 Ruta online</w:t>
      </w:r>
    </w:p>
    <w:p>
      <w:pPr>
        <w:ind w:left="259" w:hanging="259"/>
      </w:pPr>
      <w:r>
        <w:rPr>
          <w:b/>
        </w:rPr>
        <w:t xml:space="preserve">1. </w:t>
      </w:r>
      <w:r>
        <w:t>Fijar la versión del cuestionario y el snapshot activo.</w:t>
      </w:r>
    </w:p>
    <w:p>
      <w:pPr>
        <w:ind w:left="259" w:hanging="259"/>
      </w:pPr>
      <w:r>
        <w:rPr>
          <w:b/>
        </w:rPr>
        <w:t xml:space="preserve">2. </w:t>
      </w:r>
      <w:r>
        <w:t>Validar contrato, completitud, consistencia e idempotencia.</w:t>
      </w:r>
    </w:p>
    <w:p>
      <w:pPr>
        <w:ind w:left="259" w:hanging="259"/>
      </w:pPr>
      <w:r>
        <w:rPr>
          <w:b/>
        </w:rPr>
        <w:t xml:space="preserve">3. </w:t>
      </w:r>
      <w:r>
        <w:t>Pseudonimizar y generalizar atributos sensibles.</w:t>
      </w:r>
    </w:p>
    <w:p>
      <w:pPr>
        <w:ind w:left="259" w:hanging="259"/>
      </w:pPr>
      <w:r>
        <w:rPr>
          <w:b/>
        </w:rPr>
        <w:t xml:space="preserve">4. </w:t>
      </w:r>
      <w:r>
        <w:t>Calcular scores por dimensión.</w:t>
      </w:r>
    </w:p>
    <w:p>
      <w:pPr>
        <w:ind w:left="259" w:hanging="259"/>
      </w:pPr>
      <w:r>
        <w:rPr>
          <w:b/>
        </w:rPr>
        <w:t xml:space="preserve">5. </w:t>
      </w:r>
      <w:r>
        <w:t>Seleccionar cohorte y ruta de fallback.</w:t>
      </w:r>
    </w:p>
    <w:p>
      <w:pPr>
        <w:ind w:left="259" w:hanging="259"/>
      </w:pPr>
      <w:r>
        <w:rPr>
          <w:b/>
        </w:rPr>
        <w:t xml:space="preserve">6. </w:t>
      </w:r>
      <w:r>
        <w:t>Calcular percentiles y confianza contra el snapshot.</w:t>
      </w:r>
    </w:p>
    <w:p>
      <w:pPr>
        <w:ind w:left="259" w:hanging="259"/>
      </w:pPr>
      <w:r>
        <w:rPr>
          <w:b/>
        </w:rPr>
        <w:t xml:space="preserve">7. </w:t>
      </w:r>
      <w:r>
        <w:t>Comparar con el top 25 % cuando exista soporte.</w:t>
      </w:r>
    </w:p>
    <w:p>
      <w:pPr>
        <w:ind w:left="259" w:hanging="259"/>
      </w:pPr>
      <w:r>
        <w:rPr>
          <w:b/>
        </w:rPr>
        <w:t xml:space="preserve">8. </w:t>
      </w:r>
      <w:r>
        <w:t>Generar perfil y output estructurado.</w:t>
      </w:r>
    </w:p>
    <w:p>
      <w:pPr>
        <w:ind w:left="259" w:hanging="259"/>
      </w:pPr>
      <w:r>
        <w:rPr>
          <w:b/>
        </w:rPr>
        <w:t xml:space="preserve">9. </w:t>
      </w:r>
      <w:r>
        <w:t>Persistir resultado y marcar la respuesta para el siguiente ciclo offline.</w:t>
      </w:r>
    </w:p>
    <w:p>
      <w:pPr>
        <w:pStyle w:val="Heading2"/>
        <w:keepNext/>
      </w:pPr>
      <w:r>
        <w:t>2.3 Ruta offline</w:t>
      </w:r>
    </w:p>
    <w:p>
      <w:pPr>
        <w:ind w:left="259" w:hanging="259"/>
      </w:pPr>
      <w:r>
        <w:rPr>
          <w:b/>
        </w:rPr>
        <w:t xml:space="preserve">1. </w:t>
      </w:r>
      <w:r>
        <w:t>Ingestar y versionar fuentes públicas.</w:t>
      </w:r>
    </w:p>
    <w:p>
      <w:pPr>
        <w:ind w:left="259" w:hanging="259"/>
      </w:pPr>
      <w:r>
        <w:rPr>
          <w:b/>
        </w:rPr>
        <w:t xml:space="preserve">2. </w:t>
      </w:r>
      <w:r>
        <w:t>Seleccionar respuestas primarias válidas.</w:t>
      </w:r>
    </w:p>
    <w:p>
      <w:pPr>
        <w:ind w:left="259" w:hanging="259"/>
      </w:pPr>
      <w:r>
        <w:rPr>
          <w:b/>
        </w:rPr>
        <w:t xml:space="preserve">3. </w:t>
      </w:r>
      <w:r>
        <w:t>Generar agregados con umbrales de privacidad.</w:t>
      </w:r>
    </w:p>
    <w:p>
      <w:pPr>
        <w:ind w:left="259" w:hanging="259"/>
      </w:pPr>
      <w:r>
        <w:rPr>
          <w:b/>
        </w:rPr>
        <w:t xml:space="preserve">4. </w:t>
      </w:r>
      <w:r>
        <w:t>Calcular madurez y pesos dinámicos.</w:t>
      </w:r>
    </w:p>
    <w:p>
      <w:pPr>
        <w:ind w:left="259" w:hanging="259"/>
      </w:pPr>
      <w:r>
        <w:rPr>
          <w:b/>
        </w:rPr>
        <w:t xml:space="preserve">5. </w:t>
      </w:r>
      <w:r>
        <w:t>Construir un snapshot candidato.</w:t>
      </w:r>
    </w:p>
    <w:p>
      <w:pPr>
        <w:ind w:left="259" w:hanging="259"/>
      </w:pPr>
      <w:r>
        <w:rPr>
          <w:b/>
        </w:rPr>
        <w:t xml:space="preserve">6. </w:t>
      </w:r>
      <w:r>
        <w:t>Ejecutar backtesting y análisis de drift.</w:t>
      </w:r>
    </w:p>
    <w:p>
      <w:pPr>
        <w:ind w:left="259" w:hanging="259"/>
      </w:pPr>
      <w:r>
        <w:rPr>
          <w:b/>
        </w:rPr>
        <w:t xml:space="preserve">7. </w:t>
      </w:r>
      <w:r>
        <w:t>Obtener aprobación humana.</w:t>
      </w:r>
    </w:p>
    <w:p>
      <w:pPr>
        <w:ind w:left="259" w:hanging="259"/>
      </w:pPr>
      <w:r>
        <w:rPr>
          <w:b/>
        </w:rPr>
        <w:t xml:space="preserve">8. </w:t>
      </w:r>
      <w:r>
        <w:t>Publicar el snapshot de forma atómica e inmutable.</w:t>
      </w:r>
    </w:p>
    <w:tbl>
      <w:tblPr>
        <w:tblW w:type="auto" w:w="0"/>
        <w:jc w:val="center"/>
        <w:tblLook w:firstColumn="1" w:firstRow="1" w:lastColumn="0" w:lastRow="0" w:noHBand="0" w:noVBand="1" w:val="04A0"/>
      </w:tblPr>
      <w:tblGrid>
        <w:gridCol w:w="9936"/>
      </w:tblGrid>
      <w:tr>
        <w:tc>
          <w:tcPr>
            <w:tcW w:type="dxa" w:w="9936"/>
            <w:shd w:fill="E8F0FA"/>
            <w:tcMar>
              <w:top w:w="160" w:type="dxa"/>
              <w:start w:w="180" w:type="dxa"/>
              <w:bottom w:w="160" w:type="dxa"/>
              <w:end w:w="180" w:type="dxa"/>
            </w:tcMar>
          </w:tcPr>
          <w:p>
            <w:r>
              <w:rPr>
                <w:b/>
                <w:color w:val="1C375A"/>
              </w:rPr>
              <w:t xml:space="preserve">Razón: </w:t>
            </w:r>
            <w:r>
              <w:t>El rebalanceo no debe ocurrir en la solicitud del operador. De hacerlo, dos respuestas idénticas podrían recibir posiciones diferentes por cambios concurrentes en el dataset.</w:t>
            </w:r>
          </w:p>
        </w:tc>
      </w:tr>
    </w:tbl>
    <w:p/>
    <w:p>
      <w:pPr>
        <w:pStyle w:val="Heading1"/>
        <w:keepNext/>
      </w:pPr>
      <w:r>
        <w:t>3. Diseño de los motores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C375A"/>
            <w:vAlign w:val="center"/>
            <w:tcMar>
              <w:top w:w="90" w:type="dxa"/>
              <w:start w:w="90" w:type="dxa"/>
              <w:bottom w:w="90" w:type="dxa"/>
              <w:end w:w="90" w:type="dxa"/>
            </w:tcMar>
          </w:tcPr>
          <w:p>
            <w:pPr>
              <w:jc w:val="center"/>
            </w:pPr>
            <w:r>
              <w:rPr>
                <w:b/>
                <w:color w:val="FFFFFF"/>
                <w:sz w:val="18"/>
              </w:rPr>
              <w:t>Motor</w:t>
            </w:r>
          </w:p>
        </w:tc>
        <w:tc>
          <w:tcPr>
            <w:tcW w:type="dxa" w:w="3312"/>
            <w:shd w:fill="1C375A"/>
            <w:vAlign w:val="center"/>
            <w:tcMar>
              <w:top w:w="90" w:type="dxa"/>
              <w:start w:w="90" w:type="dxa"/>
              <w:bottom w:w="90" w:type="dxa"/>
              <w:end w:w="90" w:type="dxa"/>
            </w:tcMar>
          </w:tcPr>
          <w:p>
            <w:pPr>
              <w:jc w:val="center"/>
            </w:pPr>
            <w:r>
              <w:rPr>
                <w:b/>
                <w:color w:val="FFFFFF"/>
                <w:sz w:val="18"/>
              </w:rPr>
              <w:t>Responsabilidad</w:t>
            </w:r>
          </w:p>
        </w:tc>
        <w:tc>
          <w:tcPr>
            <w:tcW w:type="dxa" w:w="3312"/>
            <w:shd w:fill="1C375A"/>
            <w:vAlign w:val="center"/>
            <w:tcMar>
              <w:top w:w="90" w:type="dxa"/>
              <w:start w:w="90" w:type="dxa"/>
              <w:bottom w:w="90" w:type="dxa"/>
              <w:end w:w="90" w:type="dxa"/>
            </w:tcMar>
          </w:tcPr>
          <w:p>
            <w:pPr>
              <w:jc w:val="center"/>
            </w:pPr>
            <w:r>
              <w:rPr>
                <w:b/>
                <w:color w:val="FFFFFF"/>
                <w:sz w:val="18"/>
              </w:rPr>
              <w:t>Salida</w:t>
            </w:r>
          </w:p>
        </w:tc>
      </w:tr>
      <w:tr>
        <w:tc>
          <w:tcPr>
            <w:tcW w:type="dxa" w:w="3312"/>
            <w:vAlign w:val="top"/>
            <w:tcMar>
              <w:top w:w="80" w:type="dxa"/>
              <w:start w:w="90" w:type="dxa"/>
              <w:bottom w:w="80" w:type="dxa"/>
              <w:end w:w="90" w:type="dxa"/>
            </w:tcMar>
          </w:tcPr>
          <w:p>
            <w:r>
              <w:rPr>
                <w:b/>
                <w:sz w:val="17"/>
              </w:rPr>
              <w:t>Validación</w:t>
            </w:r>
          </w:p>
        </w:tc>
        <w:tc>
          <w:tcPr>
            <w:tcW w:type="dxa" w:w="3312"/>
            <w:vAlign w:val="top"/>
            <w:tcMar>
              <w:top w:w="80" w:type="dxa"/>
              <w:start w:w="90" w:type="dxa"/>
              <w:bottom w:w="80" w:type="dxa"/>
              <w:end w:w="90" w:type="dxa"/>
            </w:tcMar>
          </w:tcPr>
          <w:p>
            <w:r>
              <w:rPr>
                <w:sz w:val="17"/>
              </w:rPr>
              <w:t>Decidir si una respuesta es elegible</w:t>
            </w:r>
          </w:p>
        </w:tc>
        <w:tc>
          <w:tcPr>
            <w:tcW w:type="dxa" w:w="3312"/>
            <w:vAlign w:val="top"/>
            <w:tcMar>
              <w:top w:w="80" w:type="dxa"/>
              <w:start w:w="90" w:type="dxa"/>
              <w:bottom w:w="80" w:type="dxa"/>
              <w:end w:w="90" w:type="dxa"/>
            </w:tcMar>
          </w:tcPr>
          <w:p>
            <w:r>
              <w:rPr>
                <w:sz w:val="17"/>
              </w:rPr>
              <w:t>Estado, errores, advertencias y quality score</w:t>
            </w:r>
          </w:p>
        </w:tc>
      </w:tr>
      <w:tr>
        <w:tc>
          <w:tcPr>
            <w:tcW w:type="dxa" w:w="3312"/>
            <w:vAlign w:val="top"/>
            <w:tcMar>
              <w:top w:w="80" w:type="dxa"/>
              <w:start w:w="90" w:type="dxa"/>
              <w:bottom w:w="80" w:type="dxa"/>
              <w:end w:w="90" w:type="dxa"/>
            </w:tcMar>
          </w:tcPr>
          <w:p>
            <w:r>
              <w:rPr>
                <w:b/>
                <w:sz w:val="17"/>
              </w:rPr>
              <w:t>Scoring</w:t>
            </w:r>
          </w:p>
        </w:tc>
        <w:tc>
          <w:tcPr>
            <w:tcW w:type="dxa" w:w="3312"/>
            <w:vAlign w:val="top"/>
            <w:tcMar>
              <w:top w:w="80" w:type="dxa"/>
              <w:start w:w="90" w:type="dxa"/>
              <w:bottom w:w="80" w:type="dxa"/>
              <w:end w:w="90" w:type="dxa"/>
            </w:tcMar>
          </w:tcPr>
          <w:p>
            <w:r>
              <w:rPr>
                <w:sz w:val="17"/>
              </w:rPr>
              <w:t>Transformar respuestas en puntuaciones</w:t>
            </w:r>
          </w:p>
        </w:tc>
        <w:tc>
          <w:tcPr>
            <w:tcW w:type="dxa" w:w="3312"/>
            <w:vAlign w:val="top"/>
            <w:tcMar>
              <w:top w:w="80" w:type="dxa"/>
              <w:start w:w="90" w:type="dxa"/>
              <w:bottom w:w="80" w:type="dxa"/>
              <w:end w:w="90" w:type="dxa"/>
            </w:tcMar>
          </w:tcPr>
          <w:p>
            <w:r>
              <w:rPr>
                <w:sz w:val="17"/>
              </w:rPr>
              <w:t>Scores por pregunta y dimensión</w:t>
            </w:r>
          </w:p>
        </w:tc>
      </w:tr>
      <w:tr>
        <w:tc>
          <w:tcPr>
            <w:tcW w:type="dxa" w:w="3312"/>
            <w:vAlign w:val="top"/>
            <w:tcMar>
              <w:top w:w="80" w:type="dxa"/>
              <w:start w:w="90" w:type="dxa"/>
              <w:bottom w:w="80" w:type="dxa"/>
              <w:end w:w="90" w:type="dxa"/>
            </w:tcMar>
          </w:tcPr>
          <w:p>
            <w:r>
              <w:rPr>
                <w:b/>
                <w:sz w:val="17"/>
              </w:rPr>
              <w:t>Grupos comparables</w:t>
            </w:r>
          </w:p>
        </w:tc>
        <w:tc>
          <w:tcPr>
            <w:tcW w:type="dxa" w:w="3312"/>
            <w:vAlign w:val="top"/>
            <w:tcMar>
              <w:top w:w="80" w:type="dxa"/>
              <w:start w:w="90" w:type="dxa"/>
              <w:bottom w:w="80" w:type="dxa"/>
              <w:end w:w="90" w:type="dxa"/>
            </w:tcMar>
          </w:tcPr>
          <w:p>
            <w:r>
              <w:rPr>
                <w:sz w:val="17"/>
              </w:rPr>
              <w:t>Elegir la mejor cohorte posible</w:t>
            </w:r>
          </w:p>
        </w:tc>
        <w:tc>
          <w:tcPr>
            <w:tcW w:type="dxa" w:w="3312"/>
            <w:vAlign w:val="top"/>
            <w:tcMar>
              <w:top w:w="80" w:type="dxa"/>
              <w:start w:w="90" w:type="dxa"/>
              <w:bottom w:w="80" w:type="dxa"/>
              <w:end w:w="90" w:type="dxa"/>
            </w:tcMar>
          </w:tcPr>
          <w:p>
            <w:r>
              <w:rPr>
                <w:sz w:val="17"/>
              </w:rPr>
              <w:t>Cohorte, fallback y tamaño efectivo</w:t>
            </w:r>
          </w:p>
        </w:tc>
      </w:tr>
      <w:tr>
        <w:tc>
          <w:tcPr>
            <w:tcW w:type="dxa" w:w="3312"/>
            <w:vAlign w:val="top"/>
            <w:tcMar>
              <w:top w:w="80" w:type="dxa"/>
              <w:start w:w="90" w:type="dxa"/>
              <w:bottom w:w="80" w:type="dxa"/>
              <w:end w:w="90" w:type="dxa"/>
            </w:tcMar>
          </w:tcPr>
          <w:p>
            <w:r>
              <w:rPr>
                <w:b/>
                <w:sz w:val="17"/>
              </w:rPr>
              <w:t>Benchmark y percentiles</w:t>
            </w:r>
          </w:p>
        </w:tc>
        <w:tc>
          <w:tcPr>
            <w:tcW w:type="dxa" w:w="3312"/>
            <w:vAlign w:val="top"/>
            <w:tcMar>
              <w:top w:w="80" w:type="dxa"/>
              <w:start w:w="90" w:type="dxa"/>
              <w:bottom w:w="80" w:type="dxa"/>
              <w:end w:w="90" w:type="dxa"/>
            </w:tcMar>
          </w:tcPr>
          <w:p>
            <w:r>
              <w:rPr>
                <w:sz w:val="17"/>
              </w:rPr>
              <w:t>Calcular posición relativa</w:t>
            </w:r>
          </w:p>
        </w:tc>
        <w:tc>
          <w:tcPr>
            <w:tcW w:type="dxa" w:w="3312"/>
            <w:vAlign w:val="top"/>
            <w:tcMar>
              <w:top w:w="80" w:type="dxa"/>
              <w:start w:w="90" w:type="dxa"/>
              <w:bottom w:w="80" w:type="dxa"/>
              <w:end w:w="90" w:type="dxa"/>
            </w:tcMar>
          </w:tcPr>
          <w:p>
            <w:r>
              <w:rPr>
                <w:sz w:val="17"/>
              </w:rPr>
              <w:t>Percentiles, cuartiles, referencias y confianza</w:t>
            </w:r>
          </w:p>
        </w:tc>
      </w:tr>
      <w:tr>
        <w:tc>
          <w:tcPr>
            <w:tcW w:type="dxa" w:w="3312"/>
            <w:vAlign w:val="top"/>
            <w:tcMar>
              <w:top w:w="80" w:type="dxa"/>
              <w:start w:w="90" w:type="dxa"/>
              <w:bottom w:w="80" w:type="dxa"/>
              <w:end w:w="90" w:type="dxa"/>
            </w:tcMar>
          </w:tcPr>
          <w:p>
            <w:r>
              <w:rPr>
                <w:b/>
                <w:sz w:val="17"/>
              </w:rPr>
              <w:t>Top quartile</w:t>
            </w:r>
          </w:p>
        </w:tc>
        <w:tc>
          <w:tcPr>
            <w:tcW w:type="dxa" w:w="3312"/>
            <w:vAlign w:val="top"/>
            <w:tcMar>
              <w:top w:w="80" w:type="dxa"/>
              <w:start w:w="90" w:type="dxa"/>
              <w:bottom w:w="80" w:type="dxa"/>
              <w:end w:w="90" w:type="dxa"/>
            </w:tcMar>
          </w:tcPr>
          <w:p>
            <w:r>
              <w:rPr>
                <w:sz w:val="17"/>
              </w:rPr>
              <w:t>Comparar prácticas con el 25 % superior</w:t>
            </w:r>
          </w:p>
        </w:tc>
        <w:tc>
          <w:tcPr>
            <w:tcW w:type="dxa" w:w="3312"/>
            <w:vAlign w:val="top"/>
            <w:tcMar>
              <w:top w:w="80" w:type="dxa"/>
              <w:start w:w="90" w:type="dxa"/>
              <w:bottom w:w="80" w:type="dxa"/>
              <w:end w:w="90" w:type="dxa"/>
            </w:tcMar>
          </w:tcPr>
          <w:p>
            <w:r>
              <w:rPr>
                <w:sz w:val="17"/>
              </w:rPr>
              <w:t>Brechas concretas y soporte</w:t>
            </w:r>
          </w:p>
        </w:tc>
      </w:tr>
      <w:tr>
        <w:tc>
          <w:tcPr>
            <w:tcW w:type="dxa" w:w="3312"/>
            <w:vAlign w:val="top"/>
            <w:tcMar>
              <w:top w:w="80" w:type="dxa"/>
              <w:start w:w="90" w:type="dxa"/>
              <w:bottom w:w="80" w:type="dxa"/>
              <w:end w:w="90" w:type="dxa"/>
            </w:tcMar>
          </w:tcPr>
          <w:p>
            <w:r>
              <w:rPr>
                <w:b/>
                <w:sz w:val="17"/>
              </w:rPr>
              <w:t>Rebalanceo</w:t>
            </w:r>
          </w:p>
        </w:tc>
        <w:tc>
          <w:tcPr>
            <w:tcW w:type="dxa" w:w="3312"/>
            <w:vAlign w:val="top"/>
            <w:tcMar>
              <w:top w:w="80" w:type="dxa"/>
              <w:start w:w="90" w:type="dxa"/>
              <w:bottom w:w="80" w:type="dxa"/>
              <w:end w:w="90" w:type="dxa"/>
            </w:tcMar>
          </w:tcPr>
          <w:p>
            <w:r>
              <w:rPr>
                <w:sz w:val="17"/>
              </w:rPr>
              <w:t>Mezclar evidencia pública y primaria</w:t>
            </w:r>
          </w:p>
        </w:tc>
        <w:tc>
          <w:tcPr>
            <w:tcW w:type="dxa" w:w="3312"/>
            <w:vAlign w:val="top"/>
            <w:tcMar>
              <w:top w:w="80" w:type="dxa"/>
              <w:start w:w="90" w:type="dxa"/>
              <w:bottom w:w="80" w:type="dxa"/>
              <w:end w:w="90" w:type="dxa"/>
            </w:tcMar>
          </w:tcPr>
          <w:p>
            <w:r>
              <w:rPr>
                <w:sz w:val="17"/>
              </w:rPr>
              <w:t>Pesos y distribuciones combinadas</w:t>
            </w:r>
          </w:p>
        </w:tc>
      </w:tr>
      <w:tr>
        <w:tc>
          <w:tcPr>
            <w:tcW w:type="dxa" w:w="3312"/>
            <w:vAlign w:val="top"/>
            <w:tcMar>
              <w:top w:w="80" w:type="dxa"/>
              <w:start w:w="90" w:type="dxa"/>
              <w:bottom w:w="80" w:type="dxa"/>
              <w:end w:w="90" w:type="dxa"/>
            </w:tcMar>
          </w:tcPr>
          <w:p>
            <w:r>
              <w:rPr>
                <w:b/>
                <w:sz w:val="17"/>
              </w:rPr>
              <w:t>Interpretación</w:t>
            </w:r>
          </w:p>
        </w:tc>
        <w:tc>
          <w:tcPr>
            <w:tcW w:type="dxa" w:w="3312"/>
            <w:vAlign w:val="top"/>
            <w:tcMar>
              <w:top w:w="80" w:type="dxa"/>
              <w:start w:w="90" w:type="dxa"/>
              <w:bottom w:w="80" w:type="dxa"/>
              <w:end w:w="90" w:type="dxa"/>
            </w:tcMar>
          </w:tcPr>
          <w:p>
            <w:r>
              <w:rPr>
                <w:sz w:val="17"/>
              </w:rPr>
              <w:t>Ensamblar perfil y resultado</w:t>
            </w:r>
          </w:p>
        </w:tc>
        <w:tc>
          <w:tcPr>
            <w:tcW w:type="dxa" w:w="3312"/>
            <w:vAlign w:val="top"/>
            <w:tcMar>
              <w:top w:w="80" w:type="dxa"/>
              <w:start w:w="90" w:type="dxa"/>
              <w:bottom w:w="80" w:type="dxa"/>
              <w:end w:w="90" w:type="dxa"/>
            </w:tcMar>
          </w:tcPr>
          <w:p>
            <w:r>
              <w:rPr>
                <w:sz w:val="17"/>
              </w:rPr>
              <w:t>Output web, narrativo y PDF</w:t>
            </w:r>
          </w:p>
        </w:tc>
      </w:tr>
      <w:tr>
        <w:tc>
          <w:tcPr>
            <w:tcW w:type="dxa" w:w="3312"/>
            <w:vAlign w:val="top"/>
            <w:tcMar>
              <w:top w:w="80" w:type="dxa"/>
              <w:start w:w="90" w:type="dxa"/>
              <w:bottom w:w="80" w:type="dxa"/>
              <w:end w:w="90" w:type="dxa"/>
            </w:tcMar>
          </w:tcPr>
          <w:p>
            <w:r>
              <w:rPr>
                <w:b/>
                <w:sz w:val="17"/>
              </w:rPr>
              <w:t>Privacidad y agregación</w:t>
            </w:r>
          </w:p>
        </w:tc>
        <w:tc>
          <w:tcPr>
            <w:tcW w:type="dxa" w:w="3312"/>
            <w:vAlign w:val="top"/>
            <w:tcMar>
              <w:top w:w="80" w:type="dxa"/>
              <w:start w:w="90" w:type="dxa"/>
              <w:bottom w:w="80" w:type="dxa"/>
              <w:end w:w="90" w:type="dxa"/>
            </w:tcMar>
          </w:tcPr>
          <w:p>
            <w:r>
              <w:rPr>
                <w:sz w:val="17"/>
              </w:rPr>
              <w:t>Controlar persistencia y exposición</w:t>
            </w:r>
          </w:p>
        </w:tc>
        <w:tc>
          <w:tcPr>
            <w:tcW w:type="dxa" w:w="3312"/>
            <w:vAlign w:val="top"/>
            <w:tcMar>
              <w:top w:w="80" w:type="dxa"/>
              <w:start w:w="90" w:type="dxa"/>
              <w:bottom w:w="80" w:type="dxa"/>
              <w:end w:w="90" w:type="dxa"/>
            </w:tcMar>
          </w:tcPr>
          <w:p>
            <w:r>
              <w:rPr>
                <w:sz w:val="17"/>
              </w:rPr>
              <w:t>Datos pseudónimos y agregados seguros</w:t>
            </w:r>
          </w:p>
        </w:tc>
      </w:tr>
    </w:tbl>
    <w:p>
      <w:pPr>
        <w:pStyle w:val="Heading2"/>
        <w:keepNext/>
      </w:pPr>
      <w:r>
        <w:t>3.1 Regla de construcción</w:t>
      </w:r>
    </w:p>
    <w:p>
      <w:r>
        <w:t>Cada motor debe tener una sola responsabilidad, entradas y salidas explícitas, invariantes, versión de reglas y pruebas. La capa de aplicación los orquesta; los motores no deben conocer FastAPI, el ORM, el proveedor LLM o detalles de la interfaz.</w:t>
      </w:r>
    </w:p>
    <w:p>
      <w:pPr>
        <w:pStyle w:val="Heading2"/>
        <w:keepNext/>
      </w:pPr>
      <w:r>
        <w:t>3.2 Validación como compuerta</w:t>
      </w:r>
    </w:p>
    <w:p>
      <w:pPr>
        <w:pStyle w:val="ListBullet"/>
      </w:pPr>
      <w:r>
        <w:t>Preguntas obligatorias y valores permitidos.</w:t>
      </w:r>
    </w:p>
    <w:p>
      <w:pPr>
        <w:pStyle w:val="ListBullet"/>
      </w:pPr>
      <w:r>
        <w:t>Contradicciones entre respuestas.</w:t>
      </w:r>
    </w:p>
    <w:p>
      <w:pPr>
        <w:pStyle w:val="ListBullet"/>
      </w:pPr>
      <w:r>
        <w:t>Duplicados y patrones sospechosos.</w:t>
      </w:r>
    </w:p>
    <w:p>
      <w:pPr>
        <w:pStyle w:val="ListBullet"/>
      </w:pPr>
      <w:r>
        <w:t>Diferenciación entre error bloqueante y advertencia.</w:t>
      </w:r>
    </w:p>
    <w:p>
      <w:pPr>
        <w:pStyle w:val="ListBullet"/>
      </w:pPr>
      <w:r>
        <w:t>Quality score para tamaño efectivo y rebalanceo.</w:t>
      </w:r>
    </w:p>
    <w:p>
      <w:pPr>
        <w:pStyle w:val="Heading2"/>
        <w:keepNext/>
      </w:pPr>
      <w:r>
        <w:t>3.3 Privacidad como frontera</w:t>
      </w:r>
    </w:p>
    <w:p>
      <w:pPr>
        <w:pStyle w:val="ListBullet"/>
      </w:pPr>
      <w:r>
        <w:t>Separación de datos de contacto y analítica.</w:t>
      </w:r>
    </w:p>
    <w:p>
      <w:pPr>
        <w:pStyle w:val="ListBullet"/>
      </w:pPr>
      <w:r>
        <w:t>Identificadores aleatorios no derivados de atributos.</w:t>
      </w:r>
    </w:p>
    <w:p>
      <w:pPr>
        <w:pStyle w:val="ListBullet"/>
      </w:pPr>
      <w:r>
        <w:t>Capacidad y variables únicas convertidas en bandas.</w:t>
      </w:r>
    </w:p>
    <w:p>
      <w:pPr>
        <w:pStyle w:val="ListBullet"/>
      </w:pPr>
      <w:r>
        <w:t>Supresión de grupos pequeños.</w:t>
      </w:r>
    </w:p>
    <w:p>
      <w:pPr>
        <w:pStyle w:val="ListBullet"/>
      </w:pPr>
      <w:r>
        <w:t>Auditoría de accesos, exports y publicaciones.</w:t>
      </w:r>
    </w:p>
    <w:p>
      <w:pPr>
        <w:pStyle w:val="Heading1"/>
        <w:keepNext/>
      </w:pPr>
      <w:r>
        <w:t>4. Metodología de scoring y comparación</w:t>
      </w:r>
    </w:p>
    <w:p>
      <w:pPr>
        <w:pStyle w:val="Heading2"/>
        <w:keepNext/>
      </w:pPr>
      <w:r>
        <w:t>4.1 Cinco dimensiones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C375A"/>
            <w:vAlign w:val="center"/>
            <w:tcMar>
              <w:top w:w="90" w:type="dxa"/>
              <w:start w:w="90" w:type="dxa"/>
              <w:bottom w:w="90" w:type="dxa"/>
              <w:end w:w="90" w:type="dxa"/>
            </w:tcMar>
          </w:tcPr>
          <w:p>
            <w:pPr>
              <w:jc w:val="center"/>
            </w:pPr>
            <w:r>
              <w:rPr>
                <w:b/>
                <w:color w:val="FFFFFF"/>
                <w:sz w:val="18"/>
              </w:rPr>
              <w:t>Dimensión</w:t>
            </w:r>
          </w:p>
        </w:tc>
        <w:tc>
          <w:tcPr>
            <w:tcW w:type="dxa" w:w="4968"/>
            <w:shd w:fill="1C375A"/>
            <w:vAlign w:val="center"/>
            <w:tcMar>
              <w:top w:w="90" w:type="dxa"/>
              <w:start w:w="90" w:type="dxa"/>
              <w:bottom w:w="90" w:type="dxa"/>
              <w:end w:w="90" w:type="dxa"/>
            </w:tcMar>
          </w:tcPr>
          <w:p>
            <w:pPr>
              <w:jc w:val="center"/>
            </w:pPr>
            <w:r>
              <w:rPr>
                <w:b/>
                <w:color w:val="FFFFFF"/>
                <w:sz w:val="18"/>
              </w:rPr>
              <w:t>Qué mide</w:t>
            </w:r>
          </w:p>
        </w:tc>
      </w:tr>
      <w:tr>
        <w:tc>
          <w:tcPr>
            <w:tcW w:type="dxa" w:w="4968"/>
            <w:vAlign w:val="top"/>
            <w:tcMar>
              <w:top w:w="80" w:type="dxa"/>
              <w:start w:w="90" w:type="dxa"/>
              <w:bottom w:w="80" w:type="dxa"/>
              <w:end w:w="90" w:type="dxa"/>
            </w:tcMar>
          </w:tcPr>
          <w:p>
            <w:r>
              <w:rPr>
                <w:b/>
                <w:sz w:val="17"/>
              </w:rPr>
              <w:t>Visibilidad cross-layer</w:t>
            </w:r>
          </w:p>
        </w:tc>
        <w:tc>
          <w:tcPr>
            <w:tcW w:type="dxa" w:w="4968"/>
            <w:vAlign w:val="top"/>
            <w:tcMar>
              <w:top w:w="80" w:type="dxa"/>
              <w:start w:w="90" w:type="dxa"/>
              <w:bottom w:w="80" w:type="dxa"/>
              <w:end w:w="90" w:type="dxa"/>
            </w:tcMar>
          </w:tcPr>
          <w:p>
            <w:r>
              <w:rPr>
                <w:sz w:val="17"/>
              </w:rPr>
              <w:t>Vista conjunta de energía, cooling y workloads.</w:t>
            </w:r>
          </w:p>
        </w:tc>
      </w:tr>
      <w:tr>
        <w:tc>
          <w:tcPr>
            <w:tcW w:type="dxa" w:w="4968"/>
            <w:vAlign w:val="top"/>
            <w:tcMar>
              <w:top w:w="80" w:type="dxa"/>
              <w:start w:w="90" w:type="dxa"/>
              <w:bottom w:w="80" w:type="dxa"/>
              <w:end w:w="90" w:type="dxa"/>
            </w:tcMar>
          </w:tcPr>
          <w:p>
            <w:r>
              <w:rPr>
                <w:b/>
                <w:sz w:val="17"/>
              </w:rPr>
              <w:t>Atribución de fricción</w:t>
            </w:r>
          </w:p>
        </w:tc>
        <w:tc>
          <w:tcPr>
            <w:tcW w:type="dxa" w:w="4968"/>
            <w:vAlign w:val="top"/>
            <w:tcMar>
              <w:top w:w="80" w:type="dxa"/>
              <w:start w:w="90" w:type="dxa"/>
              <w:bottom w:w="80" w:type="dxa"/>
              <w:end w:w="90" w:type="dxa"/>
            </w:tcMar>
          </w:tcPr>
          <w:p>
            <w:r>
              <w:rPr>
                <w:sz w:val="17"/>
              </w:rPr>
              <w:t>Capacidad para localizar dónde se pierde capacidad entre capas.</w:t>
            </w:r>
          </w:p>
        </w:tc>
      </w:tr>
      <w:tr>
        <w:tc>
          <w:tcPr>
            <w:tcW w:type="dxa" w:w="4968"/>
            <w:vAlign w:val="top"/>
            <w:tcMar>
              <w:top w:w="80" w:type="dxa"/>
              <w:start w:w="90" w:type="dxa"/>
              <w:bottom w:w="80" w:type="dxa"/>
              <w:end w:w="90" w:type="dxa"/>
            </w:tcMar>
          </w:tcPr>
          <w:p>
            <w:r>
              <w:rPr>
                <w:b/>
                <w:sz w:val="17"/>
              </w:rPr>
              <w:t>Latencia de coordinación</w:t>
            </w:r>
          </w:p>
        </w:tc>
        <w:tc>
          <w:tcPr>
            <w:tcW w:type="dxa" w:w="4968"/>
            <w:vAlign w:val="top"/>
            <w:tcMar>
              <w:top w:w="80" w:type="dxa"/>
              <w:start w:w="90" w:type="dxa"/>
              <w:bottom w:w="80" w:type="dxa"/>
              <w:end w:w="90" w:type="dxa"/>
            </w:tcMar>
          </w:tcPr>
          <w:p>
            <w:r>
              <w:rPr>
                <w:sz w:val="17"/>
              </w:rPr>
              <w:t>Velocidad de ajuste de cooling y energía cuando cambia el workload.</w:t>
            </w:r>
          </w:p>
        </w:tc>
      </w:tr>
      <w:tr>
        <w:tc>
          <w:tcPr>
            <w:tcW w:type="dxa" w:w="4968"/>
            <w:vAlign w:val="top"/>
            <w:tcMar>
              <w:top w:w="80" w:type="dxa"/>
              <w:start w:w="90" w:type="dxa"/>
              <w:bottom w:w="80" w:type="dxa"/>
              <w:end w:w="90" w:type="dxa"/>
            </w:tcMar>
          </w:tcPr>
          <w:p>
            <w:r>
              <w:rPr>
                <w:b/>
                <w:sz w:val="17"/>
              </w:rPr>
              <w:t>Auto-cuantificación</w:t>
            </w:r>
          </w:p>
        </w:tc>
        <w:tc>
          <w:tcPr>
            <w:tcW w:type="dxa" w:w="4968"/>
            <w:vAlign w:val="top"/>
            <w:tcMar>
              <w:top w:w="80" w:type="dxa"/>
              <w:start w:w="90" w:type="dxa"/>
              <w:bottom w:w="80" w:type="dxa"/>
              <w:end w:w="90" w:type="dxa"/>
            </w:tcMar>
          </w:tcPr>
          <w:p>
            <w:r>
              <w:rPr>
                <w:sz w:val="17"/>
              </w:rPr>
              <w:t>Capacidad para estimar stranded capacity con cobertura y frecuencia.</w:t>
            </w:r>
          </w:p>
        </w:tc>
      </w:tr>
      <w:tr>
        <w:tc>
          <w:tcPr>
            <w:tcW w:type="dxa" w:w="4968"/>
            <w:vAlign w:val="top"/>
            <w:tcMar>
              <w:top w:w="80" w:type="dxa"/>
              <w:start w:w="90" w:type="dxa"/>
              <w:bottom w:w="80" w:type="dxa"/>
              <w:end w:w="90" w:type="dxa"/>
            </w:tcMar>
          </w:tcPr>
          <w:p>
            <w:r>
              <w:rPr>
                <w:b/>
                <w:sz w:val="17"/>
              </w:rPr>
              <w:t>Bloqueantes</w:t>
            </w:r>
          </w:p>
        </w:tc>
        <w:tc>
          <w:tcPr>
            <w:tcW w:type="dxa" w:w="4968"/>
            <w:vAlign w:val="top"/>
            <w:tcMar>
              <w:top w:w="80" w:type="dxa"/>
              <w:start w:w="90" w:type="dxa"/>
              <w:bottom w:w="80" w:type="dxa"/>
              <w:end w:w="90" w:type="dxa"/>
            </w:tcMar>
          </w:tcPr>
          <w:p>
            <w:r>
              <w:rPr>
                <w:sz w:val="17"/>
              </w:rPr>
              <w:t>Obstáculos organizacionales, técnicos y financieros para resolver la fricción.</w:t>
            </w:r>
          </w:p>
        </w:tc>
      </w:tr>
    </w:tbl>
    <w:p>
      <w:pPr>
        <w:pStyle w:val="Heading2"/>
        <w:keepNext/>
      </w:pPr>
      <w:r>
        <w:t>4.2 Scoring</w:t>
      </w:r>
    </w:p>
    <w:p>
      <w:r>
        <w:t>Cada opción tiene un valor explícito y cada pregunta pertenece a una dimensión. Los pesos pueden diferir, pero deben estar versionados. El sistema conserva evidencia de qué respuestas contribuyeron al score. Las respuestas abiertas pueden enriquecer la interpretación, pero no cambian el score sin reglas previamente aprobadas.</w:t>
      </w:r>
    </w:p>
    <w:p>
      <w:pPr>
        <w:pStyle w:val="Heading2"/>
        <w:keepNext/>
      </w:pPr>
      <w:r>
        <w:t>4.3 No usar score compuesto en el MVP</w:t>
      </w:r>
    </w:p>
    <w:p>
      <w:r>
        <w:t>Un promedio puede ocultar una dimensión crítica y crear falsa precisión. El resultado debe presentar percentiles por dimensión y un perfil de fricción. Un score general futuro requiere validación metodológica y un nuevo ADR.</w:t>
      </w:r>
    </w:p>
    <w:p>
      <w:pPr>
        <w:pStyle w:val="Heading2"/>
        <w:keepNext/>
      </w:pPr>
      <w:r>
        <w:t>4.4 Cohortes jerárquicas</w:t>
      </w:r>
    </w:p>
    <w:p>
      <w:r>
        <w:t>El sistema intenta la comparación más específica y retrocede hasta encontrar una muestra suficiente y segura. La jerarquía puede combinar región, tipo de data center, banda de capacidad y workload. El output registra la cohorte utilizada y el nivel de fallback.</w:t>
      </w:r>
    </w:p>
    <w:p>
      <w:pPr>
        <w:pStyle w:val="Heading2"/>
        <w:keepNext/>
      </w:pPr>
      <w:r>
        <w:t>4.5 Percentiles y confianza</w:t>
      </w:r>
    </w:p>
    <w:p>
      <w:pPr>
        <w:pStyle w:val="ListBullet"/>
      </w:pPr>
      <w:r>
        <w:t>Calcular sobre scores de dimensión, no sobre respuestas crudas.</w:t>
      </w:r>
    </w:p>
    <w:p>
      <w:pPr>
        <w:pStyle w:val="ListBullet"/>
      </w:pPr>
      <w:r>
        <w:t>Definir tratamiento de empates.</w:t>
      </w:r>
    </w:p>
    <w:p>
      <w:pPr>
        <w:pStyle w:val="ListBullet"/>
      </w:pPr>
      <w:r>
        <w:t>Evitar precisión falsa con bandas o redondeo cuando la muestra es limitada.</w:t>
      </w:r>
    </w:p>
    <w:p>
      <w:pPr>
        <w:pStyle w:val="ListBullet"/>
      </w:pPr>
      <w:r>
        <w:t>Mostrar confianza según tamaño efectivo, calidad, representatividad, actualidad y fallback.</w:t>
      </w:r>
    </w:p>
    <w:p>
      <w:pPr>
        <w:pStyle w:val="Heading2"/>
        <w:keepNext/>
      </w:pPr>
      <w:r>
        <w:t>4.6 Comparación con el top 25 %</w:t>
      </w:r>
    </w:p>
    <w:p>
      <w:r>
        <w:t>Una práctica solo debe describirse como distintiva si existe muestra suficiente, diferencia material, frecuencia mínima y cumplimiento de privacidad. El lenguaje debe indicar asociación observada, no causalidad. Cuando el subconjunto superior sea pequeño, se amplía la cohorte o se suprime la afirmación.</w:t>
      </w:r>
    </w:p>
    <w:p>
      <w:pPr>
        <w:pStyle w:val="Heading1"/>
        <w:keepNext/>
      </w:pPr>
      <w:r>
        <w:t>5. Rebalanceo dinámico público/primario</w:t>
      </w:r>
    </w:p>
    <w:tbl>
      <w:tblPr>
        <w:tblW w:type="auto" w:w="0"/>
        <w:jc w:val="center"/>
        <w:tblLook w:firstColumn="1" w:firstRow="1" w:lastColumn="0" w:lastRow="0" w:noHBand="0" w:noVBand="1" w:val="04A0"/>
      </w:tblPr>
      <w:tblGrid>
        <w:gridCol w:w="9936"/>
      </w:tblGrid>
      <w:tr>
        <w:tc>
          <w:tcPr>
            <w:tcW w:type="dxa" w:w="9936"/>
            <w:shd w:fill="E8F0FA"/>
            <w:tcMar>
              <w:top w:w="160" w:type="dxa"/>
              <w:start w:w="180" w:type="dxa"/>
              <w:bottom w:w="160" w:type="dxa"/>
              <w:end w:w="180" w:type="dxa"/>
            </w:tcMar>
          </w:tcPr>
          <w:p>
            <w:r>
              <w:rPr>
                <w:b/>
                <w:color w:val="1C375A"/>
              </w:rPr>
              <w:t xml:space="preserve">Principio: </w:t>
            </w:r>
            <w:r>
              <w:t>El número de respuestas no determina por sí solo el peso primario. La muestra debe ser suficiente, de calidad, representativa, actual y estable.</w:t>
            </w:r>
          </w:p>
        </w:tc>
      </w:tr>
    </w:tbl>
    <w:p/>
    <w:p>
      <w:pPr>
        <w:pStyle w:val="Heading2"/>
        <w:keepNext/>
      </w:pPr>
      <w:r>
        <w:t>5.1 Factores de madurez</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C375A"/>
            <w:vAlign w:val="center"/>
            <w:tcMar>
              <w:top w:w="90" w:type="dxa"/>
              <w:start w:w="90" w:type="dxa"/>
              <w:bottom w:w="90" w:type="dxa"/>
              <w:end w:w="90" w:type="dxa"/>
            </w:tcMar>
          </w:tcPr>
          <w:p>
            <w:pPr>
              <w:jc w:val="center"/>
            </w:pPr>
            <w:r>
              <w:rPr>
                <w:b/>
                <w:color w:val="FFFFFF"/>
                <w:sz w:val="18"/>
              </w:rPr>
              <w:t>Factor</w:t>
            </w:r>
          </w:p>
        </w:tc>
        <w:tc>
          <w:tcPr>
            <w:tcW w:type="dxa" w:w="4968"/>
            <w:shd w:fill="1C375A"/>
            <w:vAlign w:val="center"/>
            <w:tcMar>
              <w:top w:w="90" w:type="dxa"/>
              <w:start w:w="90" w:type="dxa"/>
              <w:bottom w:w="90" w:type="dxa"/>
              <w:end w:w="90" w:type="dxa"/>
            </w:tcMar>
          </w:tcPr>
          <w:p>
            <w:pPr>
              <w:jc w:val="center"/>
            </w:pPr>
            <w:r>
              <w:rPr>
                <w:b/>
                <w:color w:val="FFFFFF"/>
                <w:sz w:val="18"/>
              </w:rPr>
              <w:t>Interpretación</w:t>
            </w:r>
          </w:p>
        </w:tc>
      </w:tr>
      <w:tr>
        <w:tc>
          <w:tcPr>
            <w:tcW w:type="dxa" w:w="4968"/>
            <w:vAlign w:val="top"/>
            <w:tcMar>
              <w:top w:w="80" w:type="dxa"/>
              <w:start w:w="90" w:type="dxa"/>
              <w:bottom w:w="80" w:type="dxa"/>
              <w:end w:w="90" w:type="dxa"/>
            </w:tcMar>
          </w:tcPr>
          <w:p>
            <w:r>
              <w:rPr>
                <w:b/>
                <w:sz w:val="17"/>
              </w:rPr>
              <w:t>Suficiencia</w:t>
            </w:r>
          </w:p>
        </w:tc>
        <w:tc>
          <w:tcPr>
            <w:tcW w:type="dxa" w:w="4968"/>
            <w:vAlign w:val="top"/>
            <w:tcMar>
              <w:top w:w="80" w:type="dxa"/>
              <w:start w:w="90" w:type="dxa"/>
              <w:bottom w:w="80" w:type="dxa"/>
              <w:end w:w="90" w:type="dxa"/>
            </w:tcMar>
          </w:tcPr>
          <w:p>
            <w:r>
              <w:rPr>
                <w:sz w:val="17"/>
              </w:rPr>
              <w:t>Tamaño efectivo frente al objetivo de la cohorte.</w:t>
            </w:r>
          </w:p>
        </w:tc>
      </w:tr>
      <w:tr>
        <w:tc>
          <w:tcPr>
            <w:tcW w:type="dxa" w:w="4968"/>
            <w:vAlign w:val="top"/>
            <w:tcMar>
              <w:top w:w="80" w:type="dxa"/>
              <w:start w:w="90" w:type="dxa"/>
              <w:bottom w:w="80" w:type="dxa"/>
              <w:end w:w="90" w:type="dxa"/>
            </w:tcMar>
          </w:tcPr>
          <w:p>
            <w:r>
              <w:rPr>
                <w:b/>
                <w:sz w:val="17"/>
              </w:rPr>
              <w:t>Calidad</w:t>
            </w:r>
          </w:p>
        </w:tc>
        <w:tc>
          <w:tcPr>
            <w:tcW w:type="dxa" w:w="4968"/>
            <w:vAlign w:val="top"/>
            <w:tcMar>
              <w:top w:w="80" w:type="dxa"/>
              <w:start w:w="90" w:type="dxa"/>
              <w:bottom w:w="80" w:type="dxa"/>
              <w:end w:w="90" w:type="dxa"/>
            </w:tcMar>
          </w:tcPr>
          <w:p>
            <w:r>
              <w:rPr>
                <w:sz w:val="17"/>
              </w:rPr>
              <w:t>Completitud, coherencia y quality score.</w:t>
            </w:r>
          </w:p>
        </w:tc>
      </w:tr>
      <w:tr>
        <w:tc>
          <w:tcPr>
            <w:tcW w:type="dxa" w:w="4968"/>
            <w:vAlign w:val="top"/>
            <w:tcMar>
              <w:top w:w="80" w:type="dxa"/>
              <w:start w:w="90" w:type="dxa"/>
              <w:bottom w:w="80" w:type="dxa"/>
              <w:end w:w="90" w:type="dxa"/>
            </w:tcMar>
          </w:tcPr>
          <w:p>
            <w:r>
              <w:rPr>
                <w:b/>
                <w:sz w:val="17"/>
              </w:rPr>
              <w:t>Representatividad</w:t>
            </w:r>
          </w:p>
        </w:tc>
        <w:tc>
          <w:tcPr>
            <w:tcW w:type="dxa" w:w="4968"/>
            <w:vAlign w:val="top"/>
            <w:tcMar>
              <w:top w:w="80" w:type="dxa"/>
              <w:start w:w="90" w:type="dxa"/>
              <w:bottom w:w="80" w:type="dxa"/>
              <w:end w:w="90" w:type="dxa"/>
            </w:tcMar>
          </w:tcPr>
          <w:p>
            <w:r>
              <w:rPr>
                <w:sz w:val="17"/>
              </w:rPr>
              <w:t>Cobertura y concentración de segmentos.</w:t>
            </w:r>
          </w:p>
        </w:tc>
      </w:tr>
      <w:tr>
        <w:tc>
          <w:tcPr>
            <w:tcW w:type="dxa" w:w="4968"/>
            <w:vAlign w:val="top"/>
            <w:tcMar>
              <w:top w:w="80" w:type="dxa"/>
              <w:start w:w="90" w:type="dxa"/>
              <w:bottom w:w="80" w:type="dxa"/>
              <w:end w:w="90" w:type="dxa"/>
            </w:tcMar>
          </w:tcPr>
          <w:p>
            <w:r>
              <w:rPr>
                <w:b/>
                <w:sz w:val="17"/>
              </w:rPr>
              <w:t>Actualidad</w:t>
            </w:r>
          </w:p>
        </w:tc>
        <w:tc>
          <w:tcPr>
            <w:tcW w:type="dxa" w:w="4968"/>
            <w:vAlign w:val="top"/>
            <w:tcMar>
              <w:top w:w="80" w:type="dxa"/>
              <w:start w:w="90" w:type="dxa"/>
              <w:bottom w:w="80" w:type="dxa"/>
              <w:end w:w="90" w:type="dxa"/>
            </w:tcMar>
          </w:tcPr>
          <w:p>
            <w:r>
              <w:rPr>
                <w:sz w:val="17"/>
              </w:rPr>
              <w:t>Edad y decaimiento temporal de la evidencia.</w:t>
            </w:r>
          </w:p>
        </w:tc>
      </w:tr>
      <w:tr>
        <w:tc>
          <w:tcPr>
            <w:tcW w:type="dxa" w:w="4968"/>
            <w:vAlign w:val="top"/>
            <w:tcMar>
              <w:top w:w="80" w:type="dxa"/>
              <w:start w:w="90" w:type="dxa"/>
              <w:bottom w:w="80" w:type="dxa"/>
              <w:end w:w="90" w:type="dxa"/>
            </w:tcMar>
          </w:tcPr>
          <w:p>
            <w:r>
              <w:rPr>
                <w:b/>
                <w:sz w:val="17"/>
              </w:rPr>
              <w:t>Estabilidad</w:t>
            </w:r>
          </w:p>
        </w:tc>
        <w:tc>
          <w:tcPr>
            <w:tcW w:type="dxa" w:w="4968"/>
            <w:vAlign w:val="top"/>
            <w:tcMar>
              <w:top w:w="80" w:type="dxa"/>
              <w:start w:w="90" w:type="dxa"/>
              <w:bottom w:w="80" w:type="dxa"/>
              <w:end w:w="90" w:type="dxa"/>
            </w:tcMar>
          </w:tcPr>
          <w:p>
            <w:r>
              <w:rPr>
                <w:sz w:val="17"/>
              </w:rPr>
              <w:t>Sensibilidad entre ventanas, resamples o snapshots candidatos.</w:t>
            </w:r>
          </w:p>
        </w:tc>
      </w:tr>
    </w:tbl>
    <w:p>
      <w:pPr>
        <w:pStyle w:val="Heading2"/>
        <w:keepNext/>
      </w:pPr>
      <w:r>
        <w:t>5.2 Peso por dimensión y cohorte</w:t>
      </w:r>
    </w:p>
    <w:p>
      <w:r>
        <w:t>El peso primario se calcula de forma independiente para cada dimensión y cohorte. Con cero datos válidos, es cero. Aumenta con evidencia confiable y puede disminuir si la calidad, representatividad o actualidad se degradan. La función debe ser monotónica y saturante, y sus parámetros deben pertenecer a una versión de rebalanceo.</w:t>
      </w:r>
    </w:p>
    <w:p>
      <w:pPr>
        <w:pStyle w:val="Heading2"/>
        <w:keepNext/>
      </w:pPr>
      <w:r>
        <w:t>5.3 Tamaño efectivo</w:t>
      </w:r>
    </w:p>
    <w:p>
      <w:r>
        <w:t>No equivale al conteo bruto. Cada respuesta contribuye según calidad, actualidad y confiabilidad. Esto evita que respuestas dudosas o antiguas desplacen una referencia pública más sólida.</w:t>
      </w:r>
    </w:p>
    <w:p>
      <w:pPr>
        <w:pStyle w:val="Heading2"/>
        <w:keepNext/>
      </w:pPr>
      <w:r>
        <w:t>5.4 Mezcla de distribuciones</w:t>
      </w:r>
    </w:p>
    <w:p>
      <w:r>
        <w:t>Para producir percentiles no basta combinar promedios. Se debe mezclar la distribución pública y primaria o sus funciones de distribución empíricas. La opción definitiva debe compararse mediante backtesting y registrarse como decisión metodológica.</w:t>
      </w:r>
    </w:p>
    <w:p>
      <w:pPr>
        <w:pStyle w:val="Heading2"/>
        <w:keepNext/>
      </w:pPr>
      <w:r>
        <w:t>5.5 Salvaguardas</w:t>
      </w:r>
    </w:p>
    <w:p>
      <w:pPr>
        <w:pStyle w:val="ListBullet"/>
      </w:pPr>
      <w:r>
        <w:t>Límite de cambio de peso entre snapshots.</w:t>
      </w:r>
    </w:p>
    <w:p>
      <w:pPr>
        <w:pStyle w:val="ListBullet"/>
      </w:pPr>
      <w:r>
        <w:t>Alertas por saltos de percentiles o cuartiles.</w:t>
      </w:r>
    </w:p>
    <w:p>
      <w:pPr>
        <w:pStyle w:val="ListBullet"/>
      </w:pPr>
      <w:r>
        <w:t>Rechazo de publicación si baja privacidad o estabilidad.</w:t>
      </w:r>
    </w:p>
    <w:p>
      <w:pPr>
        <w:pStyle w:val="ListBullet"/>
      </w:pPr>
      <w:r>
        <w:t>Rollback a último snapshot aprobado.</w:t>
      </w:r>
    </w:p>
    <w:p>
      <w:pPr>
        <w:pStyle w:val="ListBullet"/>
      </w:pPr>
      <w:r>
        <w:t>Reporte de drift entre fuentes públicas y primarias.</w:t>
      </w:r>
    </w:p>
    <w:p>
      <w:pPr>
        <w:pStyle w:val="Heading1"/>
        <w:keepNext/>
      </w:pPr>
      <w:r>
        <w:t>6. Modelo de datos, privacidad y agregación</w:t>
      </w:r>
    </w:p>
    <w:p>
      <w:pPr>
        <w:pStyle w:val="Heading2"/>
        <w:keepNext/>
      </w:pPr>
      <w:r>
        <w:t>6.1 Entidades conceptuales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C375A"/>
            <w:vAlign w:val="center"/>
            <w:tcMar>
              <w:top w:w="90" w:type="dxa"/>
              <w:start w:w="90" w:type="dxa"/>
              <w:bottom w:w="90" w:type="dxa"/>
              <w:end w:w="90" w:type="dxa"/>
            </w:tcMar>
          </w:tcPr>
          <w:p>
            <w:pPr>
              <w:jc w:val="center"/>
            </w:pPr>
            <w:r>
              <w:rPr>
                <w:b/>
                <w:color w:val="FFFFFF"/>
                <w:sz w:val="18"/>
              </w:rPr>
              <w:t>Entidad</w:t>
            </w:r>
          </w:p>
        </w:tc>
        <w:tc>
          <w:tcPr>
            <w:tcW w:type="dxa" w:w="4968"/>
            <w:shd w:fill="1C375A"/>
            <w:vAlign w:val="center"/>
            <w:tcMar>
              <w:top w:w="90" w:type="dxa"/>
              <w:start w:w="90" w:type="dxa"/>
              <w:bottom w:w="90" w:type="dxa"/>
              <w:end w:w="90" w:type="dxa"/>
            </w:tcMar>
          </w:tcPr>
          <w:p>
            <w:pPr>
              <w:jc w:val="center"/>
            </w:pPr>
            <w:r>
              <w:rPr>
                <w:b/>
                <w:color w:val="FFFFFF"/>
                <w:sz w:val="18"/>
              </w:rPr>
              <w:t>Propósito</w:t>
            </w:r>
          </w:p>
        </w:tc>
      </w:tr>
      <w:tr>
        <w:tc>
          <w:tcPr>
            <w:tcW w:type="dxa" w:w="4968"/>
            <w:vAlign w:val="top"/>
            <w:tcMar>
              <w:top w:w="80" w:type="dxa"/>
              <w:start w:w="90" w:type="dxa"/>
              <w:bottom w:w="80" w:type="dxa"/>
              <w:end w:w="90" w:type="dxa"/>
            </w:tcMar>
          </w:tcPr>
          <w:p>
            <w:r>
              <w:rPr>
                <w:b/>
                <w:sz w:val="17"/>
              </w:rPr>
              <w:t>QuestionnaireVersion</w:t>
            </w:r>
          </w:p>
        </w:tc>
        <w:tc>
          <w:tcPr>
            <w:tcW w:type="dxa" w:w="4968"/>
            <w:vAlign w:val="top"/>
            <w:tcMar>
              <w:top w:w="80" w:type="dxa"/>
              <w:start w:w="90" w:type="dxa"/>
              <w:bottom w:w="80" w:type="dxa"/>
              <w:end w:w="90" w:type="dxa"/>
            </w:tcMar>
          </w:tcPr>
          <w:p>
            <w:r>
              <w:rPr>
                <w:sz w:val="17"/>
              </w:rPr>
              <w:t>Versión publicada del diagnóstico.</w:t>
            </w:r>
          </w:p>
        </w:tc>
      </w:tr>
      <w:tr>
        <w:tc>
          <w:tcPr>
            <w:tcW w:type="dxa" w:w="4968"/>
            <w:vAlign w:val="top"/>
            <w:tcMar>
              <w:top w:w="80" w:type="dxa"/>
              <w:start w:w="90" w:type="dxa"/>
              <w:bottom w:w="80" w:type="dxa"/>
              <w:end w:w="90" w:type="dxa"/>
            </w:tcMar>
          </w:tcPr>
          <w:p>
            <w:r>
              <w:rPr>
                <w:b/>
                <w:sz w:val="17"/>
              </w:rPr>
              <w:t>ResponseSession</w:t>
            </w:r>
          </w:p>
        </w:tc>
        <w:tc>
          <w:tcPr>
            <w:tcW w:type="dxa" w:w="4968"/>
            <w:vAlign w:val="top"/>
            <w:tcMar>
              <w:top w:w="80" w:type="dxa"/>
              <w:start w:w="90" w:type="dxa"/>
              <w:bottom w:w="80" w:type="dxa"/>
              <w:end w:w="90" w:type="dxa"/>
            </w:tcMar>
          </w:tcPr>
          <w:p>
            <w:r>
              <w:rPr>
                <w:sz w:val="17"/>
              </w:rPr>
              <w:t>Envío pseudónimo e idempotente.</w:t>
            </w:r>
          </w:p>
        </w:tc>
      </w:tr>
      <w:tr>
        <w:tc>
          <w:tcPr>
            <w:tcW w:type="dxa" w:w="4968"/>
            <w:vAlign w:val="top"/>
            <w:tcMar>
              <w:top w:w="80" w:type="dxa"/>
              <w:start w:w="90" w:type="dxa"/>
              <w:bottom w:w="80" w:type="dxa"/>
              <w:end w:w="90" w:type="dxa"/>
            </w:tcMar>
          </w:tcPr>
          <w:p>
            <w:r>
              <w:rPr>
                <w:b/>
                <w:sz w:val="17"/>
              </w:rPr>
              <w:t>ValidationResult</w:t>
            </w:r>
          </w:p>
        </w:tc>
        <w:tc>
          <w:tcPr>
            <w:tcW w:type="dxa" w:w="4968"/>
            <w:vAlign w:val="top"/>
            <w:tcMar>
              <w:top w:w="80" w:type="dxa"/>
              <w:start w:w="90" w:type="dxa"/>
              <w:bottom w:w="80" w:type="dxa"/>
              <w:end w:w="90" w:type="dxa"/>
            </w:tcMar>
          </w:tcPr>
          <w:p>
            <w:r>
              <w:rPr>
                <w:sz w:val="17"/>
              </w:rPr>
              <w:t>Calidad, errores y elegibilidad.</w:t>
            </w:r>
          </w:p>
        </w:tc>
      </w:tr>
      <w:tr>
        <w:tc>
          <w:tcPr>
            <w:tcW w:type="dxa" w:w="4968"/>
            <w:vAlign w:val="top"/>
            <w:tcMar>
              <w:top w:w="80" w:type="dxa"/>
              <w:start w:w="90" w:type="dxa"/>
              <w:bottom w:w="80" w:type="dxa"/>
              <w:end w:w="90" w:type="dxa"/>
            </w:tcMar>
          </w:tcPr>
          <w:p>
            <w:r>
              <w:rPr>
                <w:b/>
                <w:sz w:val="17"/>
              </w:rPr>
              <w:t>DimensionScore</w:t>
            </w:r>
          </w:p>
        </w:tc>
        <w:tc>
          <w:tcPr>
            <w:tcW w:type="dxa" w:w="4968"/>
            <w:vAlign w:val="top"/>
            <w:tcMar>
              <w:top w:w="80" w:type="dxa"/>
              <w:start w:w="90" w:type="dxa"/>
              <w:bottom w:w="80" w:type="dxa"/>
              <w:end w:w="90" w:type="dxa"/>
            </w:tcMar>
          </w:tcPr>
          <w:p>
            <w:r>
              <w:rPr>
                <w:sz w:val="17"/>
              </w:rPr>
              <w:t>Score y evidencia por dimensión.</w:t>
            </w:r>
          </w:p>
        </w:tc>
      </w:tr>
      <w:tr>
        <w:tc>
          <w:tcPr>
            <w:tcW w:type="dxa" w:w="4968"/>
            <w:vAlign w:val="top"/>
            <w:tcMar>
              <w:top w:w="80" w:type="dxa"/>
              <w:start w:w="90" w:type="dxa"/>
              <w:bottom w:w="80" w:type="dxa"/>
              <w:end w:w="90" w:type="dxa"/>
            </w:tcMar>
          </w:tcPr>
          <w:p>
            <w:r>
              <w:rPr>
                <w:b/>
                <w:sz w:val="17"/>
              </w:rPr>
              <w:t>CohortAssignment</w:t>
            </w:r>
          </w:p>
        </w:tc>
        <w:tc>
          <w:tcPr>
            <w:tcW w:type="dxa" w:w="4968"/>
            <w:vAlign w:val="top"/>
            <w:tcMar>
              <w:top w:w="80" w:type="dxa"/>
              <w:start w:w="90" w:type="dxa"/>
              <w:bottom w:w="80" w:type="dxa"/>
              <w:end w:w="90" w:type="dxa"/>
            </w:tcMar>
          </w:tcPr>
          <w:p>
            <w:r>
              <w:rPr>
                <w:sz w:val="17"/>
              </w:rPr>
              <w:t>Cohorte, fallback y tamaño efectivo.</w:t>
            </w:r>
          </w:p>
        </w:tc>
      </w:tr>
      <w:tr>
        <w:tc>
          <w:tcPr>
            <w:tcW w:type="dxa" w:w="4968"/>
            <w:vAlign w:val="top"/>
            <w:tcMar>
              <w:top w:w="80" w:type="dxa"/>
              <w:start w:w="90" w:type="dxa"/>
              <w:bottom w:w="80" w:type="dxa"/>
              <w:end w:w="90" w:type="dxa"/>
            </w:tcMar>
          </w:tcPr>
          <w:p>
            <w:r>
              <w:rPr>
                <w:b/>
                <w:sz w:val="17"/>
              </w:rPr>
              <w:t>BenchmarkSnapshot</w:t>
            </w:r>
          </w:p>
        </w:tc>
        <w:tc>
          <w:tcPr>
            <w:tcW w:type="dxa" w:w="4968"/>
            <w:vAlign w:val="top"/>
            <w:tcMar>
              <w:top w:w="80" w:type="dxa"/>
              <w:start w:w="90" w:type="dxa"/>
              <w:bottom w:w="80" w:type="dxa"/>
              <w:end w:w="90" w:type="dxa"/>
            </w:tcMar>
          </w:tcPr>
          <w:p>
            <w:r>
              <w:rPr>
                <w:sz w:val="17"/>
              </w:rPr>
              <w:t>Referencia inmutable publicada.</w:t>
            </w:r>
          </w:p>
        </w:tc>
      </w:tr>
      <w:tr>
        <w:tc>
          <w:tcPr>
            <w:tcW w:type="dxa" w:w="4968"/>
            <w:vAlign w:val="top"/>
            <w:tcMar>
              <w:top w:w="80" w:type="dxa"/>
              <w:start w:w="90" w:type="dxa"/>
              <w:bottom w:w="80" w:type="dxa"/>
              <w:end w:w="90" w:type="dxa"/>
            </w:tcMar>
          </w:tcPr>
          <w:p>
            <w:r>
              <w:rPr>
                <w:b/>
                <w:sz w:val="17"/>
              </w:rPr>
              <w:t>OperatorResult</w:t>
            </w:r>
          </w:p>
        </w:tc>
        <w:tc>
          <w:tcPr>
            <w:tcW w:type="dxa" w:w="4968"/>
            <w:vAlign w:val="top"/>
            <w:tcMar>
              <w:top w:w="80" w:type="dxa"/>
              <w:start w:w="90" w:type="dxa"/>
              <w:bottom w:w="80" w:type="dxa"/>
              <w:end w:w="90" w:type="dxa"/>
            </w:tcMar>
          </w:tcPr>
          <w:p>
            <w:r>
              <w:rPr>
                <w:sz w:val="17"/>
              </w:rPr>
              <w:t>Resultado y versiones utilizadas.</w:t>
            </w:r>
          </w:p>
        </w:tc>
      </w:tr>
      <w:tr>
        <w:tc>
          <w:tcPr>
            <w:tcW w:type="dxa" w:w="4968"/>
            <w:vAlign w:val="top"/>
            <w:tcMar>
              <w:top w:w="80" w:type="dxa"/>
              <w:start w:w="90" w:type="dxa"/>
              <w:bottom w:w="80" w:type="dxa"/>
              <w:end w:w="90" w:type="dxa"/>
            </w:tcMar>
          </w:tcPr>
          <w:p>
            <w:r>
              <w:rPr>
                <w:b/>
                <w:sz w:val="17"/>
              </w:rPr>
              <w:t>AggregateMetric</w:t>
            </w:r>
          </w:p>
        </w:tc>
        <w:tc>
          <w:tcPr>
            <w:tcW w:type="dxa" w:w="4968"/>
            <w:vAlign w:val="top"/>
            <w:tcMar>
              <w:top w:w="80" w:type="dxa"/>
              <w:start w:w="90" w:type="dxa"/>
              <w:bottom w:w="80" w:type="dxa"/>
              <w:end w:w="90" w:type="dxa"/>
            </w:tcMar>
          </w:tcPr>
          <w:p>
            <w:r>
              <w:rPr>
                <w:sz w:val="17"/>
              </w:rPr>
              <w:t>Estadística segura y aprobada.</w:t>
            </w:r>
          </w:p>
        </w:tc>
      </w:tr>
      <w:tr>
        <w:tc>
          <w:tcPr>
            <w:tcW w:type="dxa" w:w="4968"/>
            <w:vAlign w:val="top"/>
            <w:tcMar>
              <w:top w:w="80" w:type="dxa"/>
              <w:start w:w="90" w:type="dxa"/>
              <w:bottom w:w="80" w:type="dxa"/>
              <w:end w:w="90" w:type="dxa"/>
            </w:tcMar>
          </w:tcPr>
          <w:p>
            <w:r>
              <w:rPr>
                <w:b/>
                <w:sz w:val="17"/>
              </w:rPr>
              <w:t>AuditEvent</w:t>
            </w:r>
          </w:p>
        </w:tc>
        <w:tc>
          <w:tcPr>
            <w:tcW w:type="dxa" w:w="4968"/>
            <w:vAlign w:val="top"/>
            <w:tcMar>
              <w:top w:w="80" w:type="dxa"/>
              <w:start w:w="90" w:type="dxa"/>
              <w:bottom w:w="80" w:type="dxa"/>
              <w:end w:w="90" w:type="dxa"/>
            </w:tcMar>
          </w:tcPr>
          <w:p>
            <w:r>
              <w:rPr>
                <w:sz w:val="17"/>
              </w:rPr>
              <w:t>Acceso o cambio relevante.</w:t>
            </w:r>
          </w:p>
        </w:tc>
      </w:tr>
    </w:tbl>
    <w:p>
      <w:pPr>
        <w:pStyle w:val="Heading2"/>
        <w:keepNext/>
      </w:pPr>
      <w:r>
        <w:t>6.2 Zonas de datos</w:t>
      </w:r>
    </w:p>
    <w:p>
      <w:pPr>
        <w:ind w:left="259" w:hanging="259"/>
      </w:pPr>
      <w:r>
        <w:rPr>
          <w:b/>
        </w:rPr>
        <w:t xml:space="preserve">1. </w:t>
      </w:r>
      <w:r>
        <w:t>Contacto opcional y separado, con retención limitada.</w:t>
      </w:r>
    </w:p>
    <w:p>
      <w:pPr>
        <w:ind w:left="259" w:hanging="259"/>
      </w:pPr>
      <w:r>
        <w:rPr>
          <w:b/>
        </w:rPr>
        <w:t xml:space="preserve">2. </w:t>
      </w:r>
      <w:r>
        <w:t>Respuestas pseudónimas.</w:t>
      </w:r>
    </w:p>
    <w:p>
      <w:pPr>
        <w:ind w:left="259" w:hanging="259"/>
      </w:pPr>
      <w:r>
        <w:rPr>
          <w:b/>
        </w:rPr>
        <w:t xml:space="preserve">3. </w:t>
      </w:r>
      <w:r>
        <w:t>Zona analítica de scores y bandas.</w:t>
      </w:r>
    </w:p>
    <w:p>
      <w:pPr>
        <w:ind w:left="259" w:hanging="259"/>
      </w:pPr>
      <w:r>
        <w:rPr>
          <w:b/>
        </w:rPr>
        <w:t xml:space="preserve">4. </w:t>
      </w:r>
      <w:r>
        <w:t>Zona agregada con supresión.</w:t>
      </w:r>
    </w:p>
    <w:p>
      <w:pPr>
        <w:ind w:left="259" w:hanging="259"/>
      </w:pPr>
      <w:r>
        <w:rPr>
          <w:b/>
        </w:rPr>
        <w:t xml:space="preserve">5. </w:t>
      </w:r>
      <w:r>
        <w:t>Zona de publicación de snapshots y outputs.</w:t>
      </w:r>
    </w:p>
    <w:p>
      <w:pPr>
        <w:pStyle w:val="Heading2"/>
        <w:keepNext/>
      </w:pPr>
      <w:r>
        <w:t>6.3 Umbrales iniciales recomendados</w:t>
      </w:r>
    </w:p>
    <w:p>
      <w:r>
        <w:t>Los valores deben validarse con metodología y legal. Como punto de partida: suprimir agregados con menos de 10 registros efectivos; no describir prácticas top 25 % si el subconjunto superior tiene menos de 10; preferir percentiles de cohorte con al menos 30 registros efectivos y usar fallback con menor confianza cuando no se alcance.</w:t>
      </w:r>
    </w:p>
    <w:p>
      <w:pPr>
        <w:pStyle w:val="Heading2"/>
        <w:keepNext/>
      </w:pPr>
      <w:r>
        <w:t>6.4 Estados de una respuesta</w:t>
      </w:r>
    </w:p>
    <w:p>
      <w:pPr>
        <w:ind w:left="259" w:hanging="259"/>
      </w:pPr>
      <w:r>
        <w:rPr>
          <w:b/>
        </w:rPr>
        <w:t xml:space="preserve">1. </w:t>
      </w:r>
      <w:r>
        <w:t>Recibida</w:t>
      </w:r>
    </w:p>
    <w:p>
      <w:pPr>
        <w:ind w:left="259" w:hanging="259"/>
      </w:pPr>
      <w:r>
        <w:rPr>
          <w:b/>
        </w:rPr>
        <w:t xml:space="preserve">2. </w:t>
      </w:r>
      <w:r>
        <w:t>Validada o rechazada</w:t>
      </w:r>
    </w:p>
    <w:p>
      <w:pPr>
        <w:ind w:left="259" w:hanging="259"/>
      </w:pPr>
      <w:r>
        <w:rPr>
          <w:b/>
        </w:rPr>
        <w:t xml:space="preserve">3. </w:t>
      </w:r>
      <w:r>
        <w:t>Pseudonimizada</w:t>
      </w:r>
    </w:p>
    <w:p>
      <w:pPr>
        <w:ind w:left="259" w:hanging="259"/>
      </w:pPr>
      <w:r>
        <w:rPr>
          <w:b/>
        </w:rPr>
        <w:t xml:space="preserve">4. </w:t>
      </w:r>
      <w:r>
        <w:t>Puntuada</w:t>
      </w:r>
    </w:p>
    <w:p>
      <w:pPr>
        <w:ind w:left="259" w:hanging="259"/>
      </w:pPr>
      <w:r>
        <w:rPr>
          <w:b/>
        </w:rPr>
        <w:t xml:space="preserve">5. </w:t>
      </w:r>
      <w:r>
        <w:t>Incorporada al dataset primario pendiente</w:t>
      </w:r>
    </w:p>
    <w:p>
      <w:pPr>
        <w:ind w:left="259" w:hanging="259"/>
      </w:pPr>
      <w:r>
        <w:rPr>
          <w:b/>
        </w:rPr>
        <w:t xml:space="preserve">6. </w:t>
      </w:r>
      <w:r>
        <w:t>Incluida en un snapshot, si corresponde</w:t>
      </w:r>
    </w:p>
    <w:p>
      <w:pPr>
        <w:pStyle w:val="Heading1"/>
        <w:keepNext/>
      </w:pPr>
      <w:r>
        <w:t>7. Contratos del resultado y del PDF</w:t>
      </w:r>
    </w:p>
    <w:p>
      <w:pPr>
        <w:pStyle w:val="Heading2"/>
        <w:keepNext/>
      </w:pPr>
      <w:r>
        <w:t>7.1 Principio de API</w:t>
      </w:r>
    </w:p>
    <w:p>
      <w:r>
        <w:t>La API expone casos de uso completos, no motores individuales. El contrato público debe mantenerse estable aunque se refactoricen motores internos.</w:t>
      </w:r>
    </w:p>
    <w:p>
      <w:pPr>
        <w:pStyle w:val="Heading2"/>
        <w:keepNext/>
      </w:pPr>
      <w:r>
        <w:t>7.2 Contenido mínimo del resultado</w:t>
      </w:r>
    </w:p>
    <w:p>
      <w:pPr>
        <w:pStyle w:val="ListBullet"/>
      </w:pPr>
      <w:r>
        <w:t>Identificador pseudónimo, fecha, versiones y snapshot.</w:t>
      </w:r>
    </w:p>
    <w:p>
      <w:pPr>
        <w:pStyle w:val="ListBullet"/>
      </w:pPr>
      <w:r>
        <w:t>Cohorte utilizada y nivel de especificidad.</w:t>
      </w:r>
    </w:p>
    <w:p>
      <w:pPr>
        <w:pStyle w:val="ListBullet"/>
      </w:pPr>
      <w:r>
        <w:t>Score, percentil, referencia y confianza por dimensión.</w:t>
      </w:r>
    </w:p>
    <w:p>
      <w:pPr>
        <w:pStyle w:val="ListBullet"/>
      </w:pPr>
      <w:r>
        <w:t>Perfil de fricción principal.</w:t>
      </w:r>
    </w:p>
    <w:p>
      <w:pPr>
        <w:pStyle w:val="ListBullet"/>
      </w:pPr>
      <w:r>
        <w:t>Diferencias con el top 25 % y soporte.</w:t>
      </w:r>
    </w:p>
    <w:p>
      <w:pPr>
        <w:pStyle w:val="ListBullet"/>
      </w:pPr>
      <w:r>
        <w:t>Limitaciones y advertencias.</w:t>
      </w:r>
    </w:p>
    <w:p>
      <w:pPr>
        <w:pStyle w:val="ListBullet"/>
      </w:pPr>
      <w:r>
        <w:t>Campos estructurados para web y PDF.</w:t>
      </w:r>
    </w:p>
    <w:p>
      <w:pPr>
        <w:pStyle w:val="Heading2"/>
        <w:keepNext/>
      </w:pPr>
      <w:r>
        <w:t>7.3 Endpoint del PDF</w:t>
      </w:r>
    </w:p>
    <w:p>
      <w:r>
        <w:t>El endpoint para el Proyecto 5 no recalcula estadísticas. Debe leer el resultado persistido y devolver un payload estable con resumen, cinco dimensiones, fricción, comparación, metodología, privacidad y versiones.</w:t>
      </w:r>
    </w:p>
    <w:p>
      <w:pPr>
        <w:pStyle w:val="Heading2"/>
        <w:keepNext/>
      </w:pPr>
      <w:r>
        <w:t>7.4 LLM opcional</w:t>
      </w:r>
    </w:p>
    <w:p>
      <w:r>
        <w:t>Puede redactar a partir de hechos estructurados, pero debe existir una plantilla determinista de fallback. Los prompts y plantillas se versionan. Ninguna afirmación estadística se origina en el LLM.</w:t>
      </w:r>
    </w:p>
    <w:p>
      <w:pPr>
        <w:pStyle w:val="Heading1"/>
        <w:keepNext/>
      </w:pPr>
      <w:r>
        <w:t>8. Pruebas, backtesting y gobernanza</w:t>
      </w:r>
    </w:p>
    <w:p>
      <w:pPr>
        <w:pStyle w:val="Heading2"/>
        <w:keepNext/>
      </w:pPr>
      <w:r>
        <w:t>8.1 Capas de prueba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C375A"/>
            <w:vAlign w:val="center"/>
            <w:tcMar>
              <w:top w:w="90" w:type="dxa"/>
              <w:start w:w="90" w:type="dxa"/>
              <w:bottom w:w="90" w:type="dxa"/>
              <w:end w:w="90" w:type="dxa"/>
            </w:tcMar>
          </w:tcPr>
          <w:p>
            <w:pPr>
              <w:jc w:val="center"/>
            </w:pPr>
            <w:r>
              <w:rPr>
                <w:b/>
                <w:color w:val="FFFFFF"/>
                <w:sz w:val="18"/>
              </w:rPr>
              <w:t>Capa</w:t>
            </w:r>
          </w:p>
        </w:tc>
        <w:tc>
          <w:tcPr>
            <w:tcW w:type="dxa" w:w="4968"/>
            <w:shd w:fill="1C375A"/>
            <w:vAlign w:val="center"/>
            <w:tcMar>
              <w:top w:w="90" w:type="dxa"/>
              <w:start w:w="90" w:type="dxa"/>
              <w:bottom w:w="90" w:type="dxa"/>
              <w:end w:w="90" w:type="dxa"/>
            </w:tcMar>
          </w:tcPr>
          <w:p>
            <w:pPr>
              <w:jc w:val="center"/>
            </w:pPr>
            <w:r>
              <w:rPr>
                <w:b/>
                <w:color w:val="FFFFFF"/>
                <w:sz w:val="18"/>
              </w:rPr>
              <w:t>Cobertura</w:t>
            </w:r>
          </w:p>
        </w:tc>
      </w:tr>
      <w:tr>
        <w:tc>
          <w:tcPr>
            <w:tcW w:type="dxa" w:w="4968"/>
            <w:vAlign w:val="top"/>
            <w:tcMar>
              <w:top w:w="80" w:type="dxa"/>
              <w:start w:w="90" w:type="dxa"/>
              <w:bottom w:w="80" w:type="dxa"/>
              <w:end w:w="90" w:type="dxa"/>
            </w:tcMar>
          </w:tcPr>
          <w:p>
            <w:r>
              <w:rPr>
                <w:b/>
                <w:sz w:val="17"/>
              </w:rPr>
              <w:t>Unitarias</w:t>
            </w:r>
          </w:p>
        </w:tc>
        <w:tc>
          <w:tcPr>
            <w:tcW w:type="dxa" w:w="4968"/>
            <w:vAlign w:val="top"/>
            <w:tcMar>
              <w:top w:w="80" w:type="dxa"/>
              <w:start w:w="90" w:type="dxa"/>
              <w:bottom w:w="80" w:type="dxa"/>
              <w:end w:w="90" w:type="dxa"/>
            </w:tcMar>
          </w:tcPr>
          <w:p>
            <w:r>
              <w:rPr>
                <w:sz w:val="17"/>
              </w:rPr>
              <w:t>Reglas de cada motor y límites.</w:t>
            </w:r>
          </w:p>
        </w:tc>
      </w:tr>
      <w:tr>
        <w:tc>
          <w:tcPr>
            <w:tcW w:type="dxa" w:w="4968"/>
            <w:vAlign w:val="top"/>
            <w:tcMar>
              <w:top w:w="80" w:type="dxa"/>
              <w:start w:w="90" w:type="dxa"/>
              <w:bottom w:w="80" w:type="dxa"/>
              <w:end w:w="90" w:type="dxa"/>
            </w:tcMar>
          </w:tcPr>
          <w:p>
            <w:r>
              <w:rPr>
                <w:b/>
                <w:sz w:val="17"/>
              </w:rPr>
              <w:t>Properties</w:t>
            </w:r>
          </w:p>
        </w:tc>
        <w:tc>
          <w:tcPr>
            <w:tcW w:type="dxa" w:w="4968"/>
            <w:vAlign w:val="top"/>
            <w:tcMar>
              <w:top w:w="80" w:type="dxa"/>
              <w:start w:w="90" w:type="dxa"/>
              <w:bottom w:w="80" w:type="dxa"/>
              <w:end w:w="90" w:type="dxa"/>
            </w:tcMar>
          </w:tcPr>
          <w:p>
            <w:r>
              <w:rPr>
                <w:sz w:val="17"/>
              </w:rPr>
              <w:t>Monotonicidad, rangos, invariantes y privacidad.</w:t>
            </w:r>
          </w:p>
        </w:tc>
      </w:tr>
      <w:tr>
        <w:tc>
          <w:tcPr>
            <w:tcW w:type="dxa" w:w="4968"/>
            <w:vAlign w:val="top"/>
            <w:tcMar>
              <w:top w:w="80" w:type="dxa"/>
              <w:start w:w="90" w:type="dxa"/>
              <w:bottom w:w="80" w:type="dxa"/>
              <w:end w:w="90" w:type="dxa"/>
            </w:tcMar>
          </w:tcPr>
          <w:p>
            <w:r>
              <w:rPr>
                <w:b/>
                <w:sz w:val="17"/>
              </w:rPr>
              <w:t>Integración</w:t>
            </w:r>
          </w:p>
        </w:tc>
        <w:tc>
          <w:tcPr>
            <w:tcW w:type="dxa" w:w="4968"/>
            <w:vAlign w:val="top"/>
            <w:tcMar>
              <w:top w:w="80" w:type="dxa"/>
              <w:start w:w="90" w:type="dxa"/>
              <w:bottom w:w="80" w:type="dxa"/>
              <w:end w:w="90" w:type="dxa"/>
            </w:tcMar>
          </w:tcPr>
          <w:p>
            <w:r>
              <w:rPr>
                <w:sz w:val="17"/>
              </w:rPr>
              <w:t>API, persistencia, idempotencia y snapshot.</w:t>
            </w:r>
          </w:p>
        </w:tc>
      </w:tr>
      <w:tr>
        <w:tc>
          <w:tcPr>
            <w:tcW w:type="dxa" w:w="4968"/>
            <w:vAlign w:val="top"/>
            <w:tcMar>
              <w:top w:w="80" w:type="dxa"/>
              <w:start w:w="90" w:type="dxa"/>
              <w:bottom w:w="80" w:type="dxa"/>
              <w:end w:w="90" w:type="dxa"/>
            </w:tcMar>
          </w:tcPr>
          <w:p>
            <w:r>
              <w:rPr>
                <w:b/>
                <w:sz w:val="17"/>
              </w:rPr>
              <w:t>Golden</w:t>
            </w:r>
          </w:p>
        </w:tc>
        <w:tc>
          <w:tcPr>
            <w:tcW w:type="dxa" w:w="4968"/>
            <w:vAlign w:val="top"/>
            <w:tcMar>
              <w:top w:w="80" w:type="dxa"/>
              <w:start w:w="90" w:type="dxa"/>
              <w:bottom w:w="80" w:type="dxa"/>
              <w:end w:w="90" w:type="dxa"/>
            </w:tcMar>
          </w:tcPr>
          <w:p>
            <w:r>
              <w:rPr>
                <w:sz w:val="17"/>
              </w:rPr>
              <w:t>Resultados esperados por versión.</w:t>
            </w:r>
          </w:p>
        </w:tc>
      </w:tr>
      <w:tr>
        <w:tc>
          <w:tcPr>
            <w:tcW w:type="dxa" w:w="4968"/>
            <w:vAlign w:val="top"/>
            <w:tcMar>
              <w:top w:w="80" w:type="dxa"/>
              <w:start w:w="90" w:type="dxa"/>
              <w:bottom w:w="80" w:type="dxa"/>
              <w:end w:w="90" w:type="dxa"/>
            </w:tcMar>
          </w:tcPr>
          <w:p>
            <w:r>
              <w:rPr>
                <w:b/>
                <w:sz w:val="17"/>
              </w:rPr>
              <w:t>Privacidad</w:t>
            </w:r>
          </w:p>
        </w:tc>
        <w:tc>
          <w:tcPr>
            <w:tcW w:type="dxa" w:w="4968"/>
            <w:vAlign w:val="top"/>
            <w:tcMar>
              <w:top w:w="80" w:type="dxa"/>
              <w:start w:w="90" w:type="dxa"/>
              <w:bottom w:w="80" w:type="dxa"/>
              <w:end w:w="90" w:type="dxa"/>
            </w:tcMar>
          </w:tcPr>
          <w:p>
            <w:r>
              <w:rPr>
                <w:sz w:val="17"/>
              </w:rPr>
              <w:t>Grupos pequeños, logs, permisos y exports.</w:t>
            </w:r>
          </w:p>
        </w:tc>
      </w:tr>
      <w:tr>
        <w:tc>
          <w:tcPr>
            <w:tcW w:type="dxa" w:w="4968"/>
            <w:vAlign w:val="top"/>
            <w:tcMar>
              <w:top w:w="80" w:type="dxa"/>
              <w:start w:w="90" w:type="dxa"/>
              <w:bottom w:w="80" w:type="dxa"/>
              <w:end w:w="90" w:type="dxa"/>
            </w:tcMar>
          </w:tcPr>
          <w:p>
            <w:r>
              <w:rPr>
                <w:b/>
                <w:sz w:val="17"/>
              </w:rPr>
              <w:t>Backtesting</w:t>
            </w:r>
          </w:p>
        </w:tc>
        <w:tc>
          <w:tcPr>
            <w:tcW w:type="dxa" w:w="4968"/>
            <w:vAlign w:val="top"/>
            <w:tcMar>
              <w:top w:w="80" w:type="dxa"/>
              <w:start w:w="90" w:type="dxa"/>
              <w:bottom w:w="80" w:type="dxa"/>
              <w:end w:w="90" w:type="dxa"/>
            </w:tcMar>
          </w:tcPr>
          <w:p>
            <w:r>
              <w:rPr>
                <w:sz w:val="17"/>
              </w:rPr>
              <w:t>Estabilidad entre snapshot candidato y vigente.</w:t>
            </w:r>
          </w:p>
        </w:tc>
      </w:tr>
    </w:tbl>
    <w:p>
      <w:pPr>
        <w:pStyle w:val="Heading2"/>
        <w:keepNext/>
      </w:pPr>
      <w:r>
        <w:t>8.2 Invariantes críticos</w:t>
      </w:r>
    </w:p>
    <w:p>
      <w:pPr>
        <w:pStyle w:val="ListBullet"/>
      </w:pPr>
      <w:r>
        <w:t>El mismo input, versiones y snapshot producen el mismo output.</w:t>
      </w:r>
    </w:p>
    <w:p>
      <w:pPr>
        <w:pStyle w:val="ListBullet"/>
      </w:pPr>
      <w:r>
        <w:t>Scores y percentiles siempre permanecen dentro de rango.</w:t>
      </w:r>
    </w:p>
    <w:p>
      <w:pPr>
        <w:pStyle w:val="ListBullet"/>
      </w:pPr>
      <w:r>
        <w:t>Peso público más peso primario es igual a uno.</w:t>
      </w:r>
    </w:p>
    <w:p>
      <w:pPr>
        <w:pStyle w:val="ListBullet"/>
      </w:pPr>
      <w:r>
        <w:t>Sin datos primarios válidos, el peso primario es cero.</w:t>
      </w:r>
    </w:p>
    <w:p>
      <w:pPr>
        <w:pStyle w:val="ListBullet"/>
      </w:pPr>
      <w:r>
        <w:t>Un agregado suprimido nunca aparece en un output.</w:t>
      </w:r>
    </w:p>
    <w:p>
      <w:pPr>
        <w:pStyle w:val="ListBullet"/>
      </w:pPr>
      <w:r>
        <w:t>Una mejora monotónica de respuesta no reduce el score correspondiente.</w:t>
      </w:r>
    </w:p>
    <w:p>
      <w:pPr>
        <w:pStyle w:val="Heading2"/>
        <w:keepNext/>
      </w:pPr>
      <w:r>
        <w:t>8.3 Publicación metodológica</w:t>
      </w:r>
    </w:p>
    <w:p>
      <w:pPr>
        <w:ind w:left="259" w:hanging="259"/>
      </w:pPr>
      <w:r>
        <w:rPr>
          <w:b/>
        </w:rPr>
        <w:t xml:space="preserve">1. </w:t>
      </w:r>
      <w:r>
        <w:t>Propuesta documentada</w:t>
      </w:r>
    </w:p>
    <w:p>
      <w:pPr>
        <w:ind w:left="259" w:hanging="259"/>
      </w:pPr>
      <w:r>
        <w:rPr>
          <w:b/>
        </w:rPr>
        <w:t xml:space="preserve">2. </w:t>
      </w:r>
      <w:r>
        <w:t>Backtest</w:t>
      </w:r>
    </w:p>
    <w:p>
      <w:pPr>
        <w:ind w:left="259" w:hanging="259"/>
      </w:pPr>
      <w:r>
        <w:rPr>
          <w:b/>
        </w:rPr>
        <w:t xml:space="preserve">3. </w:t>
      </w:r>
      <w:r>
        <w:t>Análisis por segmento</w:t>
      </w:r>
    </w:p>
    <w:p>
      <w:pPr>
        <w:ind w:left="259" w:hanging="259"/>
      </w:pPr>
      <w:r>
        <w:rPr>
          <w:b/>
        </w:rPr>
        <w:t xml:space="preserve">4. </w:t>
      </w:r>
      <w:r>
        <w:t>Revisión de privacidad</w:t>
      </w:r>
    </w:p>
    <w:p>
      <w:pPr>
        <w:ind w:left="259" w:hanging="259"/>
      </w:pPr>
      <w:r>
        <w:rPr>
          <w:b/>
        </w:rPr>
        <w:t xml:space="preserve">5. </w:t>
      </w:r>
      <w:r>
        <w:t>Aprobación humana</w:t>
      </w:r>
    </w:p>
    <w:p>
      <w:pPr>
        <w:ind w:left="259" w:hanging="259"/>
      </w:pPr>
      <w:r>
        <w:rPr>
          <w:b/>
        </w:rPr>
        <w:t xml:space="preserve">6. </w:t>
      </w:r>
      <w:r>
        <w:t>Publicación de nuevo snapshot</w:t>
      </w:r>
    </w:p>
    <w:p>
      <w:pPr>
        <w:pStyle w:val="Heading1"/>
        <w:keepNext/>
      </w:pPr>
      <w:r>
        <w:t>9. Uso en Kiro</w:t>
      </w:r>
    </w:p>
    <w:p>
      <w:r>
        <w:t>El paquete entregado utiliza los mecanismos actuales de Kiro: AGENTS.md, steering de workspace, Agent Skills y Feature Specs. La configuración se orienta a un flujo Design-First de alto nivel, apropiado para proyectos con restricciones técnicas y de privacidad.</w:t>
      </w:r>
    </w:p>
    <w:p>
      <w:pPr>
        <w:pStyle w:val="Heading2"/>
        <w:keepNext/>
      </w:pPr>
      <w:r>
        <w:t>9.1 Archivos principales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C375A"/>
            <w:vAlign w:val="center"/>
            <w:tcMar>
              <w:top w:w="90" w:type="dxa"/>
              <w:start w:w="90" w:type="dxa"/>
              <w:bottom w:w="90" w:type="dxa"/>
              <w:end w:w="90" w:type="dxa"/>
            </w:tcMar>
          </w:tcPr>
          <w:p>
            <w:pPr>
              <w:jc w:val="center"/>
            </w:pPr>
            <w:r>
              <w:rPr>
                <w:b/>
                <w:color w:val="FFFFFF"/>
                <w:sz w:val="18"/>
              </w:rPr>
              <w:t>Archivo</w:t>
            </w:r>
          </w:p>
        </w:tc>
        <w:tc>
          <w:tcPr>
            <w:tcW w:type="dxa" w:w="4968"/>
            <w:shd w:fill="1C375A"/>
            <w:vAlign w:val="center"/>
            <w:tcMar>
              <w:top w:w="90" w:type="dxa"/>
              <w:start w:w="90" w:type="dxa"/>
              <w:bottom w:w="90" w:type="dxa"/>
              <w:end w:w="90" w:type="dxa"/>
            </w:tcMar>
          </w:tcPr>
          <w:p>
            <w:pPr>
              <w:jc w:val="center"/>
            </w:pPr>
            <w:r>
              <w:rPr>
                <w:b/>
                <w:color w:val="FFFFFF"/>
                <w:sz w:val="18"/>
              </w:rPr>
              <w:t>Uso</w:t>
            </w:r>
          </w:p>
        </w:tc>
      </w:tr>
      <w:tr>
        <w:tc>
          <w:tcPr>
            <w:tcW w:type="dxa" w:w="4968"/>
            <w:vAlign w:val="top"/>
            <w:tcMar>
              <w:top w:w="80" w:type="dxa"/>
              <w:start w:w="90" w:type="dxa"/>
              <w:bottom w:w="80" w:type="dxa"/>
              <w:end w:w="90" w:type="dxa"/>
            </w:tcMar>
          </w:tcPr>
          <w:p>
            <w:r>
              <w:rPr>
                <w:b/>
                <w:sz w:val="17"/>
              </w:rPr>
              <w:t>AGENTS.md</w:t>
            </w:r>
          </w:p>
        </w:tc>
        <w:tc>
          <w:tcPr>
            <w:tcW w:type="dxa" w:w="4968"/>
            <w:vAlign w:val="top"/>
            <w:tcMar>
              <w:top w:w="80" w:type="dxa"/>
              <w:start w:w="90" w:type="dxa"/>
              <w:bottom w:w="80" w:type="dxa"/>
              <w:end w:w="90" w:type="dxa"/>
            </w:tcMar>
          </w:tcPr>
          <w:p>
            <w:r>
              <w:rPr>
                <w:sz w:val="17"/>
              </w:rPr>
              <w:t>Reglas permanentes y Definition of Done.</w:t>
            </w:r>
          </w:p>
        </w:tc>
      </w:tr>
      <w:tr>
        <w:tc>
          <w:tcPr>
            <w:tcW w:type="dxa" w:w="4968"/>
            <w:vAlign w:val="top"/>
            <w:tcMar>
              <w:top w:w="80" w:type="dxa"/>
              <w:start w:w="90" w:type="dxa"/>
              <w:bottom w:w="80" w:type="dxa"/>
              <w:end w:w="90" w:type="dxa"/>
            </w:tcMar>
          </w:tcPr>
          <w:p>
            <w:r>
              <w:rPr>
                <w:b/>
                <w:sz w:val="17"/>
              </w:rPr>
              <w:t>.kiro/steering/product.md</w:t>
            </w:r>
          </w:p>
        </w:tc>
        <w:tc>
          <w:tcPr>
            <w:tcW w:type="dxa" w:w="4968"/>
            <w:vAlign w:val="top"/>
            <w:tcMar>
              <w:top w:w="80" w:type="dxa"/>
              <w:start w:w="90" w:type="dxa"/>
              <w:bottom w:w="80" w:type="dxa"/>
              <w:end w:w="90" w:type="dxa"/>
            </w:tcMar>
          </w:tcPr>
          <w:p>
            <w:r>
              <w:rPr>
                <w:sz w:val="17"/>
              </w:rPr>
              <w:t>Propósito, usuarios y criterios de éxito.</w:t>
            </w:r>
          </w:p>
        </w:tc>
      </w:tr>
      <w:tr>
        <w:tc>
          <w:tcPr>
            <w:tcW w:type="dxa" w:w="4968"/>
            <w:vAlign w:val="top"/>
            <w:tcMar>
              <w:top w:w="80" w:type="dxa"/>
              <w:start w:w="90" w:type="dxa"/>
              <w:bottom w:w="80" w:type="dxa"/>
              <w:end w:w="90" w:type="dxa"/>
            </w:tcMar>
          </w:tcPr>
          <w:p>
            <w:r>
              <w:rPr>
                <w:b/>
                <w:sz w:val="17"/>
              </w:rPr>
              <w:t>.kiro/steering/tech.md</w:t>
            </w:r>
          </w:p>
        </w:tc>
        <w:tc>
          <w:tcPr>
            <w:tcW w:type="dxa" w:w="4968"/>
            <w:vAlign w:val="top"/>
            <w:tcMar>
              <w:top w:w="80" w:type="dxa"/>
              <w:start w:w="90" w:type="dxa"/>
              <w:bottom w:w="80" w:type="dxa"/>
              <w:end w:w="90" w:type="dxa"/>
            </w:tcMar>
          </w:tcPr>
          <w:p>
            <w:r>
              <w:rPr>
                <w:sz w:val="17"/>
              </w:rPr>
              <w:t>Stack y restricciones.</w:t>
            </w:r>
          </w:p>
        </w:tc>
      </w:tr>
      <w:tr>
        <w:tc>
          <w:tcPr>
            <w:tcW w:type="dxa" w:w="4968"/>
            <w:vAlign w:val="top"/>
            <w:tcMar>
              <w:top w:w="80" w:type="dxa"/>
              <w:start w:w="90" w:type="dxa"/>
              <w:bottom w:w="80" w:type="dxa"/>
              <w:end w:w="90" w:type="dxa"/>
            </w:tcMar>
          </w:tcPr>
          <w:p>
            <w:r>
              <w:rPr>
                <w:b/>
                <w:sz w:val="17"/>
              </w:rPr>
              <w:t>.kiro/steering/structure.md</w:t>
            </w:r>
          </w:p>
        </w:tc>
        <w:tc>
          <w:tcPr>
            <w:tcW w:type="dxa" w:w="4968"/>
            <w:vAlign w:val="top"/>
            <w:tcMar>
              <w:top w:w="80" w:type="dxa"/>
              <w:start w:w="90" w:type="dxa"/>
              <w:bottom w:w="80" w:type="dxa"/>
              <w:end w:w="90" w:type="dxa"/>
            </w:tcMar>
          </w:tcPr>
          <w:p>
            <w:r>
              <w:rPr>
                <w:sz w:val="17"/>
              </w:rPr>
              <w:t>Organización y dependencias.</w:t>
            </w:r>
          </w:p>
        </w:tc>
      </w:tr>
      <w:tr>
        <w:tc>
          <w:tcPr>
            <w:tcW w:type="dxa" w:w="4968"/>
            <w:vAlign w:val="top"/>
            <w:tcMar>
              <w:top w:w="80" w:type="dxa"/>
              <w:start w:w="90" w:type="dxa"/>
              <w:bottom w:w="80" w:type="dxa"/>
              <w:end w:w="90" w:type="dxa"/>
            </w:tcMar>
          </w:tcPr>
          <w:p>
            <w:r>
              <w:rPr>
                <w:b/>
                <w:sz w:val="17"/>
              </w:rPr>
              <w:t>.kiro/steering/benchmark-governance.md</w:t>
            </w:r>
          </w:p>
        </w:tc>
        <w:tc>
          <w:tcPr>
            <w:tcW w:type="dxa" w:w="4968"/>
            <w:vAlign w:val="top"/>
            <w:tcMar>
              <w:top w:w="80" w:type="dxa"/>
              <w:start w:w="90" w:type="dxa"/>
              <w:bottom w:w="80" w:type="dxa"/>
              <w:end w:w="90" w:type="dxa"/>
            </w:tcMar>
          </w:tcPr>
          <w:p>
            <w:r>
              <w:rPr>
                <w:sz w:val="17"/>
              </w:rPr>
              <w:t>Versiones, privacidad y aprobación.</w:t>
            </w:r>
          </w:p>
        </w:tc>
      </w:tr>
      <w:tr>
        <w:tc>
          <w:tcPr>
            <w:tcW w:type="dxa" w:w="4968"/>
            <w:vAlign w:val="top"/>
            <w:tcMar>
              <w:top w:w="80" w:type="dxa"/>
              <w:start w:w="90" w:type="dxa"/>
              <w:bottom w:w="80" w:type="dxa"/>
              <w:end w:w="90" w:type="dxa"/>
            </w:tcMar>
          </w:tcPr>
          <w:p>
            <w:r>
              <w:rPr>
                <w:b/>
                <w:sz w:val="17"/>
              </w:rPr>
              <w:t>.kiro/skills/.../SKILL.md</w:t>
            </w:r>
          </w:p>
        </w:tc>
        <w:tc>
          <w:tcPr>
            <w:tcW w:type="dxa" w:w="4968"/>
            <w:vAlign w:val="top"/>
            <w:tcMar>
              <w:top w:w="80" w:type="dxa"/>
              <w:start w:w="90" w:type="dxa"/>
              <w:bottom w:w="80" w:type="dxa"/>
              <w:end w:w="90" w:type="dxa"/>
            </w:tcMar>
          </w:tcPr>
          <w:p>
            <w:r>
              <w:rPr>
                <w:sz w:val="17"/>
              </w:rPr>
              <w:t>Workflow reutilizable por tarea.</w:t>
            </w:r>
          </w:p>
        </w:tc>
      </w:tr>
      <w:tr>
        <w:tc>
          <w:tcPr>
            <w:tcW w:type="dxa" w:w="4968"/>
            <w:vAlign w:val="top"/>
            <w:tcMar>
              <w:top w:w="80" w:type="dxa"/>
              <w:start w:w="90" w:type="dxa"/>
              <w:bottom w:w="80" w:type="dxa"/>
              <w:end w:w="90" w:type="dxa"/>
            </w:tcMar>
          </w:tcPr>
          <w:p>
            <w:r>
              <w:rPr>
                <w:b/>
                <w:sz w:val="17"/>
              </w:rPr>
              <w:t>.kiro/specs/benchmark-core/</w:t>
            </w:r>
          </w:p>
        </w:tc>
        <w:tc>
          <w:tcPr>
            <w:tcW w:type="dxa" w:w="4968"/>
            <w:vAlign w:val="top"/>
            <w:tcMar>
              <w:top w:w="80" w:type="dxa"/>
              <w:start w:w="90" w:type="dxa"/>
              <w:bottom w:w="80" w:type="dxa"/>
              <w:end w:w="90" w:type="dxa"/>
            </w:tcMar>
          </w:tcPr>
          <w:p>
            <w:r>
              <w:rPr>
                <w:sz w:val="17"/>
              </w:rPr>
              <w:t>Requirements, design y tasks iniciales.</w:t>
            </w:r>
          </w:p>
        </w:tc>
      </w:tr>
      <w:tr>
        <w:tc>
          <w:tcPr>
            <w:tcW w:type="dxa" w:w="4968"/>
            <w:vAlign w:val="top"/>
            <w:tcMar>
              <w:top w:w="80" w:type="dxa"/>
              <w:start w:w="90" w:type="dxa"/>
              <w:bottom w:w="80" w:type="dxa"/>
              <w:end w:w="90" w:type="dxa"/>
            </w:tcMar>
          </w:tcPr>
          <w:p>
            <w:r>
              <w:rPr>
                <w:b/>
                <w:sz w:val="17"/>
              </w:rPr>
              <w:t>docs/adr/</w:t>
            </w:r>
          </w:p>
        </w:tc>
        <w:tc>
          <w:tcPr>
            <w:tcW w:type="dxa" w:w="4968"/>
            <w:vAlign w:val="top"/>
            <w:tcMar>
              <w:top w:w="80" w:type="dxa"/>
              <w:start w:w="90" w:type="dxa"/>
              <w:bottom w:w="80" w:type="dxa"/>
              <w:end w:w="90" w:type="dxa"/>
            </w:tcMar>
          </w:tcPr>
          <w:p>
            <w:r>
              <w:rPr>
                <w:sz w:val="17"/>
              </w:rPr>
              <w:t>Decisiones que no deben cambiarse silenciosamente.</w:t>
            </w:r>
          </w:p>
        </w:tc>
      </w:tr>
    </w:tbl>
    <w:p>
      <w:pPr>
        <w:pStyle w:val="Heading2"/>
        <w:keepNext/>
      </w:pPr>
      <w:r>
        <w:t>9.2 Prompt de inicio</w:t>
      </w:r>
    </w:p>
    <w:tbl>
      <w:tblPr>
        <w:tblW w:type="auto" w:w="0"/>
        <w:jc w:val="center"/>
        <w:tblLook w:firstColumn="1" w:firstRow="1" w:lastColumn="0" w:lastRow="0" w:noHBand="0" w:noVBand="1" w:val="04A0"/>
      </w:tblPr>
      <w:tblGrid>
        <w:gridCol w:w="9936"/>
      </w:tblGrid>
      <w:tr>
        <w:tc>
          <w:tcPr>
            <w:tcW w:type="dxa" w:w="9936"/>
            <w:shd w:fill="F3F5F8"/>
            <w:tcMar>
              <w:top w:w="160" w:type="dxa"/>
              <w:start w:w="180" w:type="dxa"/>
              <w:bottom w:w="160" w:type="dxa"/>
              <w:end w:w="180" w:type="dxa"/>
            </w:tcMar>
          </w:tcPr>
          <w:p>
            <w:r>
              <w:rPr>
                <w:b/>
                <w:color w:val="1C375A"/>
              </w:rPr>
              <w:t xml:space="preserve">Prompt: </w:t>
            </w:r>
            <w:r>
              <w:t>Lee AGENTS.md, steering, la skill benchmark-engine-delivery y los ADR. Revisa la spec benchmark-core con enfoque Design-First. No escribas código todavía. Identifica contradicciones, dependencias y ajustes necesarios; después propone la secuencia de implementación por verticales pequeñas.</w:t>
            </w:r>
          </w:p>
        </w:tc>
      </w:tr>
    </w:tbl>
    <w:p/>
    <w:p>
      <w:pPr>
        <w:pStyle w:val="Heading2"/>
        <w:keepNext/>
      </w:pPr>
      <w:r>
        <w:t>9.3 Forma de ejecución</w:t>
      </w:r>
    </w:p>
    <w:p>
      <w:pPr>
        <w:pStyle w:val="ListBullet"/>
      </w:pPr>
      <w:r>
        <w:t>No pedir “construir todo” en una sola tarea.</w:t>
      </w:r>
    </w:p>
    <w:p>
      <w:pPr>
        <w:pStyle w:val="ListBullet"/>
      </w:pPr>
      <w:r>
        <w:t>Ejecutar una spec por fase o motor.</w:t>
      </w:r>
    </w:p>
    <w:p>
      <w:pPr>
        <w:pStyle w:val="ListBullet"/>
      </w:pPr>
      <w:r>
        <w:t>Exigir pruebas y documentación antes de marcar una tarea como terminada.</w:t>
      </w:r>
    </w:p>
    <w:p>
      <w:pPr>
        <w:pStyle w:val="ListBullet"/>
      </w:pPr>
      <w:r>
        <w:t>Crear un ADR nuevo si Kiro propone cambiar una decisión aceptada.</w:t>
      </w:r>
    </w:p>
    <w:p>
      <w:pPr>
        <w:pStyle w:val="ListBullet"/>
      </w:pPr>
      <w:r>
        <w:t>Revisar manualmente metodología, privacidad y snapshots candidatos.</w:t>
      </w:r>
    </w:p>
    <w:p>
      <w:pPr>
        <w:pStyle w:val="Heading1"/>
        <w:keepNext/>
      </w:pPr>
      <w:r>
        <w:t>10. Roadmap recomendado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C375A"/>
            <w:vAlign w:val="center"/>
            <w:tcMar>
              <w:top w:w="90" w:type="dxa"/>
              <w:start w:w="90" w:type="dxa"/>
              <w:bottom w:w="90" w:type="dxa"/>
              <w:end w:w="90" w:type="dxa"/>
            </w:tcMar>
          </w:tcPr>
          <w:p>
            <w:pPr>
              <w:jc w:val="center"/>
            </w:pPr>
            <w:r>
              <w:rPr>
                <w:b/>
                <w:color w:val="FFFFFF"/>
                <w:sz w:val="18"/>
              </w:rPr>
              <w:t>Fase</w:t>
            </w:r>
          </w:p>
        </w:tc>
        <w:tc>
          <w:tcPr>
            <w:tcW w:type="dxa" w:w="3312"/>
            <w:shd w:fill="1C375A"/>
            <w:vAlign w:val="center"/>
            <w:tcMar>
              <w:top w:w="90" w:type="dxa"/>
              <w:start w:w="90" w:type="dxa"/>
              <w:bottom w:w="90" w:type="dxa"/>
              <w:end w:w="90" w:type="dxa"/>
            </w:tcMar>
          </w:tcPr>
          <w:p>
            <w:pPr>
              <w:jc w:val="center"/>
            </w:pPr>
            <w:r>
              <w:rPr>
                <w:b/>
                <w:color w:val="FFFFFF"/>
                <w:sz w:val="18"/>
              </w:rPr>
              <w:t>Objetivo</w:t>
            </w:r>
          </w:p>
        </w:tc>
        <w:tc>
          <w:tcPr>
            <w:tcW w:type="dxa" w:w="3312"/>
            <w:shd w:fill="1C375A"/>
            <w:vAlign w:val="center"/>
            <w:tcMar>
              <w:top w:w="90" w:type="dxa"/>
              <w:start w:w="90" w:type="dxa"/>
              <w:bottom w:w="90" w:type="dxa"/>
              <w:end w:w="90" w:type="dxa"/>
            </w:tcMar>
          </w:tcPr>
          <w:p>
            <w:pPr>
              <w:jc w:val="center"/>
            </w:pPr>
            <w:r>
              <w:rPr>
                <w:b/>
                <w:color w:val="FFFFFF"/>
                <w:sz w:val="18"/>
              </w:rPr>
              <w:t>Resultado verificable</w:t>
            </w:r>
          </w:p>
        </w:tc>
      </w:tr>
      <w:tr>
        <w:tc>
          <w:tcPr>
            <w:tcW w:type="dxa" w:w="3312"/>
            <w:vAlign w:val="top"/>
            <w:tcMar>
              <w:top w:w="80" w:type="dxa"/>
              <w:start w:w="90" w:type="dxa"/>
              <w:bottom w:w="80" w:type="dxa"/>
              <w:end w:w="90" w:type="dxa"/>
            </w:tcMar>
          </w:tcPr>
          <w:p>
            <w:r>
              <w:rPr>
                <w:b/>
                <w:sz w:val="17"/>
              </w:rPr>
              <w:t>0. Fundaciones</w:t>
            </w:r>
          </w:p>
        </w:tc>
        <w:tc>
          <w:tcPr>
            <w:tcW w:type="dxa" w:w="3312"/>
            <w:vAlign w:val="top"/>
            <w:tcMar>
              <w:top w:w="80" w:type="dxa"/>
              <w:start w:w="90" w:type="dxa"/>
              <w:bottom w:w="80" w:type="dxa"/>
              <w:end w:w="90" w:type="dxa"/>
            </w:tcMar>
          </w:tcPr>
          <w:p>
            <w:r>
              <w:rPr>
                <w:sz w:val="17"/>
              </w:rPr>
              <w:t>Preguntas, fuentes, versiones y umbrales</w:t>
            </w:r>
          </w:p>
        </w:tc>
        <w:tc>
          <w:tcPr>
            <w:tcW w:type="dxa" w:w="3312"/>
            <w:vAlign w:val="top"/>
            <w:tcMar>
              <w:top w:w="80" w:type="dxa"/>
              <w:start w:w="90" w:type="dxa"/>
              <w:bottom w:w="80" w:type="dxa"/>
              <w:end w:w="90" w:type="dxa"/>
            </w:tcMar>
          </w:tcPr>
          <w:p>
            <w:r>
              <w:rPr>
                <w:sz w:val="17"/>
              </w:rPr>
              <w:t>Metodología inicial aprobada</w:t>
            </w:r>
          </w:p>
        </w:tc>
      </w:tr>
      <w:tr>
        <w:tc>
          <w:tcPr>
            <w:tcW w:type="dxa" w:w="3312"/>
            <w:vAlign w:val="top"/>
            <w:tcMar>
              <w:top w:w="80" w:type="dxa"/>
              <w:start w:w="90" w:type="dxa"/>
              <w:bottom w:w="80" w:type="dxa"/>
              <w:end w:w="90" w:type="dxa"/>
            </w:tcMar>
          </w:tcPr>
          <w:p>
            <w:r>
              <w:rPr>
                <w:b/>
                <w:sz w:val="17"/>
              </w:rPr>
              <w:t>1. Núcleo</w:t>
            </w:r>
          </w:p>
        </w:tc>
        <w:tc>
          <w:tcPr>
            <w:tcW w:type="dxa" w:w="3312"/>
            <w:vAlign w:val="top"/>
            <w:tcMar>
              <w:top w:w="80" w:type="dxa"/>
              <w:start w:w="90" w:type="dxa"/>
              <w:bottom w:w="80" w:type="dxa"/>
              <w:end w:w="90" w:type="dxa"/>
            </w:tcMar>
          </w:tcPr>
          <w:p>
            <w:r>
              <w:rPr>
                <w:sz w:val="17"/>
              </w:rPr>
              <w:t>Validación y scoring</w:t>
            </w:r>
          </w:p>
        </w:tc>
        <w:tc>
          <w:tcPr>
            <w:tcW w:type="dxa" w:w="3312"/>
            <w:vAlign w:val="top"/>
            <w:tcMar>
              <w:top w:w="80" w:type="dxa"/>
              <w:start w:w="90" w:type="dxa"/>
              <w:bottom w:w="80" w:type="dxa"/>
              <w:end w:w="90" w:type="dxa"/>
            </w:tcMar>
          </w:tcPr>
          <w:p>
            <w:r>
              <w:rPr>
                <w:sz w:val="17"/>
              </w:rPr>
              <w:t>Scores reproducibles</w:t>
            </w:r>
          </w:p>
        </w:tc>
      </w:tr>
      <w:tr>
        <w:tc>
          <w:tcPr>
            <w:tcW w:type="dxa" w:w="3312"/>
            <w:vAlign w:val="top"/>
            <w:tcMar>
              <w:top w:w="80" w:type="dxa"/>
              <w:start w:w="90" w:type="dxa"/>
              <w:bottom w:w="80" w:type="dxa"/>
              <w:end w:w="90" w:type="dxa"/>
            </w:tcMar>
          </w:tcPr>
          <w:p>
            <w:r>
              <w:rPr>
                <w:b/>
                <w:sz w:val="17"/>
              </w:rPr>
              <w:t>2. Benchmark público</w:t>
            </w:r>
          </w:p>
        </w:tc>
        <w:tc>
          <w:tcPr>
            <w:tcW w:type="dxa" w:w="3312"/>
            <w:vAlign w:val="top"/>
            <w:tcMar>
              <w:top w:w="80" w:type="dxa"/>
              <w:start w:w="90" w:type="dxa"/>
              <w:bottom w:w="80" w:type="dxa"/>
              <w:end w:w="90" w:type="dxa"/>
            </w:tcMar>
          </w:tcPr>
          <w:p>
            <w:r>
              <w:rPr>
                <w:sz w:val="17"/>
              </w:rPr>
              <w:t>Cohortes, snapshot y percentiles</w:t>
            </w:r>
          </w:p>
        </w:tc>
        <w:tc>
          <w:tcPr>
            <w:tcW w:type="dxa" w:w="3312"/>
            <w:vAlign w:val="top"/>
            <w:tcMar>
              <w:top w:w="80" w:type="dxa"/>
              <w:start w:w="90" w:type="dxa"/>
              <w:bottom w:w="80" w:type="dxa"/>
              <w:end w:w="90" w:type="dxa"/>
            </w:tcMar>
          </w:tcPr>
          <w:p>
            <w:r>
              <w:rPr>
                <w:sz w:val="17"/>
              </w:rPr>
              <w:t>Posición por dimensión</w:t>
            </w:r>
          </w:p>
        </w:tc>
      </w:tr>
      <w:tr>
        <w:tc>
          <w:tcPr>
            <w:tcW w:type="dxa" w:w="3312"/>
            <w:vAlign w:val="top"/>
            <w:tcMar>
              <w:top w:w="80" w:type="dxa"/>
              <w:start w:w="90" w:type="dxa"/>
              <w:bottom w:w="80" w:type="dxa"/>
              <w:end w:w="90" w:type="dxa"/>
            </w:tcMar>
          </w:tcPr>
          <w:p>
            <w:r>
              <w:rPr>
                <w:b/>
                <w:sz w:val="17"/>
              </w:rPr>
              <w:t>3. Personalización</w:t>
            </w:r>
          </w:p>
        </w:tc>
        <w:tc>
          <w:tcPr>
            <w:tcW w:type="dxa" w:w="3312"/>
            <w:vAlign w:val="top"/>
            <w:tcMar>
              <w:top w:w="80" w:type="dxa"/>
              <w:start w:w="90" w:type="dxa"/>
              <w:bottom w:w="80" w:type="dxa"/>
              <w:end w:w="90" w:type="dxa"/>
            </w:tcMar>
          </w:tcPr>
          <w:p>
            <w:r>
              <w:rPr>
                <w:sz w:val="17"/>
              </w:rPr>
              <w:t>Top 25 %, perfil y output</w:t>
            </w:r>
          </w:p>
        </w:tc>
        <w:tc>
          <w:tcPr>
            <w:tcW w:type="dxa" w:w="3312"/>
            <w:vAlign w:val="top"/>
            <w:tcMar>
              <w:top w:w="80" w:type="dxa"/>
              <w:start w:w="90" w:type="dxa"/>
              <w:bottom w:w="80" w:type="dxa"/>
              <w:end w:w="90" w:type="dxa"/>
            </w:tcMar>
          </w:tcPr>
          <w:p>
            <w:r>
              <w:rPr>
                <w:sz w:val="17"/>
              </w:rPr>
              <w:t>Resultado específico</w:t>
            </w:r>
          </w:p>
        </w:tc>
      </w:tr>
      <w:tr>
        <w:tc>
          <w:tcPr>
            <w:tcW w:type="dxa" w:w="3312"/>
            <w:vAlign w:val="top"/>
            <w:tcMar>
              <w:top w:w="80" w:type="dxa"/>
              <w:start w:w="90" w:type="dxa"/>
              <w:bottom w:w="80" w:type="dxa"/>
              <w:end w:w="90" w:type="dxa"/>
            </w:tcMar>
          </w:tcPr>
          <w:p>
            <w:r>
              <w:rPr>
                <w:b/>
                <w:sz w:val="17"/>
              </w:rPr>
              <w:t>4. Privacidad</w:t>
            </w:r>
          </w:p>
        </w:tc>
        <w:tc>
          <w:tcPr>
            <w:tcW w:type="dxa" w:w="3312"/>
            <w:vAlign w:val="top"/>
            <w:tcMar>
              <w:top w:w="80" w:type="dxa"/>
              <w:start w:w="90" w:type="dxa"/>
              <w:bottom w:w="80" w:type="dxa"/>
              <w:end w:w="90" w:type="dxa"/>
            </w:tcMar>
          </w:tcPr>
          <w:p>
            <w:r>
              <w:rPr>
                <w:sz w:val="17"/>
              </w:rPr>
              <w:t>Persistencia, supresión y auditoría</w:t>
            </w:r>
          </w:p>
        </w:tc>
        <w:tc>
          <w:tcPr>
            <w:tcW w:type="dxa" w:w="3312"/>
            <w:vAlign w:val="top"/>
            <w:tcMar>
              <w:top w:w="80" w:type="dxa"/>
              <w:start w:w="90" w:type="dxa"/>
              <w:bottom w:w="80" w:type="dxa"/>
              <w:end w:w="90" w:type="dxa"/>
            </w:tcMar>
          </w:tcPr>
          <w:p>
            <w:r>
              <w:rPr>
                <w:sz w:val="17"/>
              </w:rPr>
              <w:t>Dataset primario seguro</w:t>
            </w:r>
          </w:p>
        </w:tc>
      </w:tr>
      <w:tr>
        <w:tc>
          <w:tcPr>
            <w:tcW w:type="dxa" w:w="3312"/>
            <w:vAlign w:val="top"/>
            <w:tcMar>
              <w:top w:w="80" w:type="dxa"/>
              <w:start w:w="90" w:type="dxa"/>
              <w:bottom w:w="80" w:type="dxa"/>
              <w:end w:w="90" w:type="dxa"/>
            </w:tcMar>
          </w:tcPr>
          <w:p>
            <w:r>
              <w:rPr>
                <w:b/>
                <w:sz w:val="17"/>
              </w:rPr>
              <w:t>5. Rebalanceo</w:t>
            </w:r>
          </w:p>
        </w:tc>
        <w:tc>
          <w:tcPr>
            <w:tcW w:type="dxa" w:w="3312"/>
            <w:vAlign w:val="top"/>
            <w:tcMar>
              <w:top w:w="80" w:type="dxa"/>
              <w:start w:w="90" w:type="dxa"/>
              <w:bottom w:w="80" w:type="dxa"/>
              <w:end w:w="90" w:type="dxa"/>
            </w:tcMar>
          </w:tcPr>
          <w:p>
            <w:r>
              <w:rPr>
                <w:sz w:val="17"/>
              </w:rPr>
              <w:t>Pesos, backtest y publicación</w:t>
            </w:r>
          </w:p>
        </w:tc>
        <w:tc>
          <w:tcPr>
            <w:tcW w:type="dxa" w:w="3312"/>
            <w:vAlign w:val="top"/>
            <w:tcMar>
              <w:top w:w="80" w:type="dxa"/>
              <w:start w:w="90" w:type="dxa"/>
              <w:bottom w:w="80" w:type="dxa"/>
              <w:end w:w="90" w:type="dxa"/>
            </w:tcMar>
          </w:tcPr>
          <w:p>
            <w:r>
              <w:rPr>
                <w:sz w:val="17"/>
              </w:rPr>
              <w:t>Transición dinámica</w:t>
            </w:r>
          </w:p>
        </w:tc>
      </w:tr>
      <w:tr>
        <w:tc>
          <w:tcPr>
            <w:tcW w:type="dxa" w:w="3312"/>
            <w:vAlign w:val="top"/>
            <w:tcMar>
              <w:top w:w="80" w:type="dxa"/>
              <w:start w:w="90" w:type="dxa"/>
              <w:bottom w:w="80" w:type="dxa"/>
              <w:end w:w="90" w:type="dxa"/>
            </w:tcMar>
          </w:tcPr>
          <w:p>
            <w:r>
              <w:rPr>
                <w:b/>
                <w:sz w:val="17"/>
              </w:rPr>
              <w:t>6. Operación</w:t>
            </w:r>
          </w:p>
        </w:tc>
        <w:tc>
          <w:tcPr>
            <w:tcW w:type="dxa" w:w="3312"/>
            <w:vAlign w:val="top"/>
            <w:tcMar>
              <w:top w:w="80" w:type="dxa"/>
              <w:start w:w="90" w:type="dxa"/>
              <w:bottom w:w="80" w:type="dxa"/>
              <w:end w:w="90" w:type="dxa"/>
            </w:tcMar>
          </w:tcPr>
          <w:p>
            <w:r>
              <w:rPr>
                <w:sz w:val="17"/>
              </w:rPr>
              <w:t>Panel, drift y mejora continua</w:t>
            </w:r>
          </w:p>
        </w:tc>
        <w:tc>
          <w:tcPr>
            <w:tcW w:type="dxa" w:w="3312"/>
            <w:vAlign w:val="top"/>
            <w:tcMar>
              <w:top w:w="80" w:type="dxa"/>
              <w:start w:w="90" w:type="dxa"/>
              <w:bottom w:w="80" w:type="dxa"/>
              <w:end w:w="90" w:type="dxa"/>
            </w:tcMar>
          </w:tcPr>
          <w:p>
            <w:r>
              <w:rPr>
                <w:sz w:val="17"/>
              </w:rPr>
              <w:t>Ciclo gobernado</w:t>
            </w:r>
          </w:p>
        </w:tc>
      </w:tr>
    </w:tbl>
    <w:p>
      <w:pPr>
        <w:pStyle w:val="Heading2"/>
        <w:keepNext/>
      </w:pPr>
      <w:r>
        <w:t>10.1 Dependencias críticas</w:t>
      </w:r>
    </w:p>
    <w:p>
      <w:pPr>
        <w:pStyle w:val="ListBullet"/>
      </w:pPr>
      <w:r>
        <w:t>No construir rebalanceo antes de disponer de calidad, cohortes y snapshots.</w:t>
      </w:r>
    </w:p>
    <w:p>
      <w:pPr>
        <w:pStyle w:val="ListBullet"/>
      </w:pPr>
      <w:r>
        <w:t>No construir top quartile antes de definir soporte y privacidad.</w:t>
      </w:r>
    </w:p>
    <w:p>
      <w:pPr>
        <w:pStyle w:val="ListBullet"/>
      </w:pPr>
      <w:r>
        <w:t>No conectar LLM antes de contar con output determinista.</w:t>
      </w:r>
    </w:p>
    <w:p>
      <w:pPr>
        <w:pStyle w:val="ListBullet"/>
      </w:pPr>
      <w:r>
        <w:t>No publicar API de resultados antes de fijar versionado y contratos.</w:t>
      </w:r>
    </w:p>
    <w:p>
      <w:pPr>
        <w:pStyle w:val="Heading1"/>
        <w:keepNext/>
      </w:pPr>
      <w:r>
        <w:t>11. Registro de decisiones arquitectónicas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C375A"/>
            <w:vAlign w:val="center"/>
            <w:tcMar>
              <w:top w:w="90" w:type="dxa"/>
              <w:start w:w="90" w:type="dxa"/>
              <w:bottom w:w="90" w:type="dxa"/>
              <w:end w:w="90" w:type="dxa"/>
            </w:tcMar>
          </w:tcPr>
          <w:p>
            <w:pPr>
              <w:jc w:val="center"/>
            </w:pPr>
            <w:r>
              <w:rPr>
                <w:b/>
                <w:color w:val="FFFFFF"/>
                <w:sz w:val="18"/>
              </w:rPr>
              <w:t>ADR</w:t>
            </w:r>
          </w:p>
        </w:tc>
        <w:tc>
          <w:tcPr>
            <w:tcW w:type="dxa" w:w="4968"/>
            <w:shd w:fill="1C375A"/>
            <w:vAlign w:val="center"/>
            <w:tcMar>
              <w:top w:w="90" w:type="dxa"/>
              <w:start w:w="90" w:type="dxa"/>
              <w:bottom w:w="90" w:type="dxa"/>
              <w:end w:w="90" w:type="dxa"/>
            </w:tcMar>
          </w:tcPr>
          <w:p>
            <w:pPr>
              <w:jc w:val="center"/>
            </w:pPr>
            <w:r>
              <w:rPr>
                <w:b/>
                <w:color w:val="FFFFFF"/>
                <w:sz w:val="18"/>
              </w:rPr>
              <w:t>Decisión</w:t>
            </w:r>
          </w:p>
        </w:tc>
      </w:tr>
      <w:tr>
        <w:tc>
          <w:tcPr>
            <w:tcW w:type="dxa" w:w="4968"/>
            <w:vAlign w:val="top"/>
            <w:tcMar>
              <w:top w:w="80" w:type="dxa"/>
              <w:start w:w="90" w:type="dxa"/>
              <w:bottom w:w="80" w:type="dxa"/>
              <w:end w:w="90" w:type="dxa"/>
            </w:tcMar>
          </w:tcPr>
          <w:p>
            <w:r>
              <w:rPr>
                <w:b/>
                <w:sz w:val="17"/>
              </w:rPr>
              <w:t>ADR-001</w:t>
            </w:r>
          </w:p>
        </w:tc>
        <w:tc>
          <w:tcPr>
            <w:tcW w:type="dxa" w:w="4968"/>
            <w:vAlign w:val="top"/>
            <w:tcMar>
              <w:top w:w="80" w:type="dxa"/>
              <w:start w:w="90" w:type="dxa"/>
              <w:bottom w:w="80" w:type="dxa"/>
              <w:end w:w="90" w:type="dxa"/>
            </w:tcMar>
          </w:tcPr>
          <w:p>
            <w:r>
              <w:rPr>
                <w:sz w:val="17"/>
              </w:rPr>
              <w:t>Modular monolith y límites de motores</w:t>
            </w:r>
          </w:p>
        </w:tc>
      </w:tr>
      <w:tr>
        <w:tc>
          <w:tcPr>
            <w:tcW w:type="dxa" w:w="4968"/>
            <w:vAlign w:val="top"/>
            <w:tcMar>
              <w:top w:w="80" w:type="dxa"/>
              <w:start w:w="90" w:type="dxa"/>
              <w:bottom w:w="80" w:type="dxa"/>
              <w:end w:w="90" w:type="dxa"/>
            </w:tcMar>
          </w:tcPr>
          <w:p>
            <w:r>
              <w:rPr>
                <w:b/>
                <w:sz w:val="17"/>
              </w:rPr>
              <w:t>ADR-002</w:t>
            </w:r>
          </w:p>
        </w:tc>
        <w:tc>
          <w:tcPr>
            <w:tcW w:type="dxa" w:w="4968"/>
            <w:vAlign w:val="top"/>
            <w:tcMar>
              <w:top w:w="80" w:type="dxa"/>
              <w:start w:w="90" w:type="dxa"/>
              <w:bottom w:w="80" w:type="dxa"/>
              <w:end w:w="90" w:type="dxa"/>
            </w:tcMar>
          </w:tcPr>
          <w:p>
            <w:r>
              <w:rPr>
                <w:sz w:val="17"/>
              </w:rPr>
              <w:t>Snapshots publicados e inmutables</w:t>
            </w:r>
          </w:p>
        </w:tc>
      </w:tr>
      <w:tr>
        <w:tc>
          <w:tcPr>
            <w:tcW w:type="dxa" w:w="4968"/>
            <w:vAlign w:val="top"/>
            <w:tcMar>
              <w:top w:w="80" w:type="dxa"/>
              <w:start w:w="90" w:type="dxa"/>
              <w:bottom w:w="80" w:type="dxa"/>
              <w:end w:w="90" w:type="dxa"/>
            </w:tcMar>
          </w:tcPr>
          <w:p>
            <w:r>
              <w:rPr>
                <w:b/>
                <w:sz w:val="17"/>
              </w:rPr>
              <w:t>ADR-003</w:t>
            </w:r>
          </w:p>
        </w:tc>
        <w:tc>
          <w:tcPr>
            <w:tcW w:type="dxa" w:w="4968"/>
            <w:vAlign w:val="top"/>
            <w:tcMar>
              <w:top w:w="80" w:type="dxa"/>
              <w:start w:w="90" w:type="dxa"/>
              <w:bottom w:w="80" w:type="dxa"/>
              <w:end w:w="90" w:type="dxa"/>
            </w:tcMar>
          </w:tcPr>
          <w:p>
            <w:r>
              <w:rPr>
                <w:sz w:val="17"/>
              </w:rPr>
              <w:t>Validación como compuerta de ingreso</w:t>
            </w:r>
          </w:p>
        </w:tc>
      </w:tr>
      <w:tr>
        <w:tc>
          <w:tcPr>
            <w:tcW w:type="dxa" w:w="4968"/>
            <w:vAlign w:val="top"/>
            <w:tcMar>
              <w:top w:w="80" w:type="dxa"/>
              <w:start w:w="90" w:type="dxa"/>
              <w:bottom w:w="80" w:type="dxa"/>
              <w:end w:w="90" w:type="dxa"/>
            </w:tcMar>
          </w:tcPr>
          <w:p>
            <w:r>
              <w:rPr>
                <w:b/>
                <w:sz w:val="17"/>
              </w:rPr>
              <w:t>ADR-004</w:t>
            </w:r>
          </w:p>
        </w:tc>
        <w:tc>
          <w:tcPr>
            <w:tcW w:type="dxa" w:w="4968"/>
            <w:vAlign w:val="top"/>
            <w:tcMar>
              <w:top w:w="80" w:type="dxa"/>
              <w:start w:w="90" w:type="dxa"/>
              <w:bottom w:w="80" w:type="dxa"/>
              <w:end w:w="90" w:type="dxa"/>
            </w:tcMar>
          </w:tcPr>
          <w:p>
            <w:r>
              <w:rPr>
                <w:sz w:val="17"/>
              </w:rPr>
              <w:t>Privacidad y agregación como frontera</w:t>
            </w:r>
          </w:p>
        </w:tc>
      </w:tr>
      <w:tr>
        <w:tc>
          <w:tcPr>
            <w:tcW w:type="dxa" w:w="4968"/>
            <w:vAlign w:val="top"/>
            <w:tcMar>
              <w:top w:w="80" w:type="dxa"/>
              <w:start w:w="90" w:type="dxa"/>
              <w:bottom w:w="80" w:type="dxa"/>
              <w:end w:w="90" w:type="dxa"/>
            </w:tcMar>
          </w:tcPr>
          <w:p>
            <w:r>
              <w:rPr>
                <w:b/>
                <w:sz w:val="17"/>
              </w:rPr>
              <w:t>ADR-005</w:t>
            </w:r>
          </w:p>
        </w:tc>
        <w:tc>
          <w:tcPr>
            <w:tcW w:type="dxa" w:w="4968"/>
            <w:vAlign w:val="top"/>
            <w:tcMar>
              <w:top w:w="80" w:type="dxa"/>
              <w:start w:w="90" w:type="dxa"/>
              <w:bottom w:w="80" w:type="dxa"/>
              <w:end w:w="90" w:type="dxa"/>
            </w:tcMar>
          </w:tcPr>
          <w:p>
            <w:r>
              <w:rPr>
                <w:sz w:val="17"/>
              </w:rPr>
              <w:t>Rebalanceo por dimensión y cohorte</w:t>
            </w:r>
          </w:p>
        </w:tc>
      </w:tr>
      <w:tr>
        <w:tc>
          <w:tcPr>
            <w:tcW w:type="dxa" w:w="4968"/>
            <w:vAlign w:val="top"/>
            <w:tcMar>
              <w:top w:w="80" w:type="dxa"/>
              <w:start w:w="90" w:type="dxa"/>
              <w:bottom w:w="80" w:type="dxa"/>
              <w:end w:w="90" w:type="dxa"/>
            </w:tcMar>
          </w:tcPr>
          <w:p>
            <w:r>
              <w:rPr>
                <w:b/>
                <w:sz w:val="17"/>
              </w:rPr>
              <w:t>ADR-006</w:t>
            </w:r>
          </w:p>
        </w:tc>
        <w:tc>
          <w:tcPr>
            <w:tcW w:type="dxa" w:w="4968"/>
            <w:vAlign w:val="top"/>
            <w:tcMar>
              <w:top w:w="80" w:type="dxa"/>
              <w:start w:w="90" w:type="dxa"/>
              <w:bottom w:w="80" w:type="dxa"/>
              <w:end w:w="90" w:type="dxa"/>
            </w:tcMar>
          </w:tcPr>
          <w:p>
            <w:r>
              <w:rPr>
                <w:sz w:val="17"/>
              </w:rPr>
              <w:t>Cohortes jerárquicas con fallback</w:t>
            </w:r>
          </w:p>
        </w:tc>
      </w:tr>
      <w:tr>
        <w:tc>
          <w:tcPr>
            <w:tcW w:type="dxa" w:w="4968"/>
            <w:vAlign w:val="top"/>
            <w:tcMar>
              <w:top w:w="80" w:type="dxa"/>
              <w:start w:w="90" w:type="dxa"/>
              <w:bottom w:w="80" w:type="dxa"/>
              <w:end w:w="90" w:type="dxa"/>
            </w:tcMar>
          </w:tcPr>
          <w:p>
            <w:r>
              <w:rPr>
                <w:b/>
                <w:sz w:val="17"/>
              </w:rPr>
              <w:t>ADR-007</w:t>
            </w:r>
          </w:p>
        </w:tc>
        <w:tc>
          <w:tcPr>
            <w:tcW w:type="dxa" w:w="4968"/>
            <w:vAlign w:val="top"/>
            <w:tcMar>
              <w:top w:w="80" w:type="dxa"/>
              <w:start w:w="90" w:type="dxa"/>
              <w:bottom w:w="80" w:type="dxa"/>
              <w:end w:w="90" w:type="dxa"/>
            </w:tcMar>
          </w:tcPr>
          <w:p>
            <w:r>
              <w:rPr>
                <w:sz w:val="17"/>
              </w:rPr>
              <w:t>Sin score compuesto en el MVP</w:t>
            </w:r>
          </w:p>
        </w:tc>
      </w:tr>
      <w:tr>
        <w:tc>
          <w:tcPr>
            <w:tcW w:type="dxa" w:w="4968"/>
            <w:vAlign w:val="top"/>
            <w:tcMar>
              <w:top w:w="80" w:type="dxa"/>
              <w:start w:w="90" w:type="dxa"/>
              <w:bottom w:w="80" w:type="dxa"/>
              <w:end w:w="90" w:type="dxa"/>
            </w:tcMar>
          </w:tcPr>
          <w:p>
            <w:r>
              <w:rPr>
                <w:b/>
                <w:sz w:val="17"/>
              </w:rPr>
              <w:t>ADR-008</w:t>
            </w:r>
          </w:p>
        </w:tc>
        <w:tc>
          <w:tcPr>
            <w:tcW w:type="dxa" w:w="4968"/>
            <w:vAlign w:val="top"/>
            <w:tcMar>
              <w:top w:w="80" w:type="dxa"/>
              <w:start w:w="90" w:type="dxa"/>
              <w:bottom w:w="80" w:type="dxa"/>
              <w:end w:w="90" w:type="dxa"/>
            </w:tcMar>
          </w:tcPr>
          <w:p>
            <w:r>
              <w:rPr>
                <w:sz w:val="17"/>
              </w:rPr>
              <w:t>LLM fuera del camino estadístico</w:t>
            </w:r>
          </w:p>
        </w:tc>
      </w:tr>
      <w:tr>
        <w:tc>
          <w:tcPr>
            <w:tcW w:type="dxa" w:w="4968"/>
            <w:vAlign w:val="top"/>
            <w:tcMar>
              <w:top w:w="80" w:type="dxa"/>
              <w:start w:w="90" w:type="dxa"/>
              <w:bottom w:w="80" w:type="dxa"/>
              <w:end w:w="90" w:type="dxa"/>
            </w:tcMar>
          </w:tcPr>
          <w:p>
            <w:r>
              <w:rPr>
                <w:b/>
                <w:sz w:val="17"/>
              </w:rPr>
              <w:t>ADR-009</w:t>
            </w:r>
          </w:p>
        </w:tc>
        <w:tc>
          <w:tcPr>
            <w:tcW w:type="dxa" w:w="4968"/>
            <w:vAlign w:val="top"/>
            <w:tcMar>
              <w:top w:w="80" w:type="dxa"/>
              <w:start w:w="90" w:type="dxa"/>
              <w:bottom w:w="80" w:type="dxa"/>
              <w:end w:w="90" w:type="dxa"/>
            </w:tcMar>
          </w:tcPr>
          <w:p>
            <w:r>
              <w:rPr>
                <w:sz w:val="17"/>
              </w:rPr>
              <w:t>Metodología declarativa y versionada</w:t>
            </w:r>
          </w:p>
        </w:tc>
      </w:tr>
      <w:tr>
        <w:tc>
          <w:tcPr>
            <w:tcW w:type="dxa" w:w="4968"/>
            <w:vAlign w:val="top"/>
            <w:tcMar>
              <w:top w:w="80" w:type="dxa"/>
              <w:start w:w="90" w:type="dxa"/>
              <w:bottom w:w="80" w:type="dxa"/>
              <w:end w:w="90" w:type="dxa"/>
            </w:tcMar>
          </w:tcPr>
          <w:p>
            <w:r>
              <w:rPr>
                <w:b/>
                <w:sz w:val="17"/>
              </w:rPr>
              <w:t>ADR-010</w:t>
            </w:r>
          </w:p>
        </w:tc>
        <w:tc>
          <w:tcPr>
            <w:tcW w:type="dxa" w:w="4968"/>
            <w:vAlign w:val="top"/>
            <w:tcMar>
              <w:top w:w="80" w:type="dxa"/>
              <w:start w:w="90" w:type="dxa"/>
              <w:bottom w:w="80" w:type="dxa"/>
              <w:end w:w="90" w:type="dxa"/>
            </w:tcMar>
          </w:tcPr>
          <w:p>
            <w:r>
              <w:rPr>
                <w:sz w:val="17"/>
              </w:rPr>
              <w:t>Separación online/offline</w:t>
            </w:r>
          </w:p>
        </w:tc>
      </w:tr>
    </w:tbl>
    <w:p>
      <w:pPr>
        <w:pStyle w:val="Heading2"/>
        <w:keepNext/>
      </w:pPr>
      <w:r>
        <w:t>11.1 Decisión más importante</w:t>
      </w:r>
    </w:p>
    <w:p>
      <w:r>
        <w:t>ADR-002 y ADR-010 forman el eje operativo: los resultados se calculan contra snapshots publicados, mientras los datos nuevos se incorporan en ciclos offline. Esto evita resultados cambiantes, reduce latencia y permite backtesting y rollback.</w:t>
      </w:r>
    </w:p>
    <w:p>
      <w:pPr>
        <w:pStyle w:val="Heading2"/>
        <w:keepNext/>
      </w:pPr>
      <w:r>
        <w:t>11.2 Decisiones abiertas</w:t>
      </w:r>
    </w:p>
    <w:p>
      <w:pPr>
        <w:pStyle w:val="ListBullet"/>
      </w:pPr>
      <w:r>
        <w:t>Preguntas y pesos exactos.</w:t>
      </w:r>
    </w:p>
    <w:p>
      <w:pPr>
        <w:pStyle w:val="ListBullet"/>
      </w:pPr>
      <w:r>
        <w:t>Fuentes públicas y licencias.</w:t>
      </w:r>
    </w:p>
    <w:p>
      <w:pPr>
        <w:pStyle w:val="ListBullet"/>
      </w:pPr>
      <w:r>
        <w:t>Población objetivo para medir representatividad.</w:t>
      </w:r>
    </w:p>
    <w:p>
      <w:pPr>
        <w:pStyle w:val="ListBullet"/>
      </w:pPr>
      <w:r>
        <w:t>Función exacta de percentil y empates.</w:t>
      </w:r>
    </w:p>
    <w:p>
      <w:pPr>
        <w:pStyle w:val="ListBullet"/>
      </w:pPr>
      <w:r>
        <w:t>Función exacta de rebalanceo.</w:t>
      </w:r>
    </w:p>
    <w:p>
      <w:pPr>
        <w:pStyle w:val="ListBullet"/>
      </w:pPr>
      <w:r>
        <w:t>Criterio estadístico de práctica distintiva.</w:t>
      </w:r>
    </w:p>
    <w:p>
      <w:pPr>
        <w:pStyle w:val="ListBullet"/>
      </w:pPr>
      <w:r>
        <w:t>Retención y eliminación de datos.</w:t>
      </w:r>
    </w:p>
    <w:p>
      <w:pPr>
        <w:pStyle w:val="ListBullet"/>
      </w:pPr>
      <w:r>
        <w:t>Necesidad futura de score general.</w:t>
      </w:r>
    </w:p>
    <w:p>
      <w:pPr>
        <w:pStyle w:val="Heading1"/>
        <w:keepNext/>
      </w:pPr>
      <w:r>
        <w:t>Anexo A. Estructura entregada</w:t>
      </w:r>
    </w:p>
    <w:p>
      <w:r>
        <w:rPr>
          <w:rFonts w:ascii="Courier New" w:hAnsi="Courier New"/>
          <w:sz w:val="17"/>
        </w:rPr>
        <w:t>README_KIRO.md</w:t>
        <w:br/>
        <w:t>AGENTS.md</w:t>
        <w:br/>
        <w:t>.kiro/</w:t>
        <w:br/>
        <w:t xml:space="preserve">  steering/</w:t>
        <w:br/>
        <w:t xml:space="preserve">    product.md</w:t>
        <w:br/>
        <w:t xml:space="preserve">    tech.md</w:t>
        <w:br/>
        <w:t xml:space="preserve">    structure.md</w:t>
        <w:br/>
        <w:t xml:space="preserve">    benchmark-governance.md</w:t>
        <w:br/>
        <w:t xml:space="preserve">  skills/</w:t>
        <w:br/>
        <w:t xml:space="preserve">    benchmark-engine-delivery/SKILL.md</w:t>
        <w:br/>
        <w:t xml:space="preserve">  specs/</w:t>
        <w:br/>
        <w:t xml:space="preserve">    benchmark-core/</w:t>
        <w:br/>
        <w:t xml:space="preserve">      requirements.md</w:t>
        <w:br/>
        <w:t xml:space="preserve">      design.md</w:t>
        <w:br/>
        <w:t xml:space="preserve">      tasks.md</w:t>
        <w:br/>
        <w:t>docs/</w:t>
        <w:br/>
        <w:t xml:space="preserve">  00_PROJECT_CHARTER.md</w:t>
        <w:br/>
        <w:t xml:space="preserve">  01_SYSTEM_ARCHITECTURE.md</w:t>
        <w:br/>
        <w:t xml:space="preserve">  02_BENCHMARK_METHODOLOGY.md</w:t>
        <w:br/>
        <w:t xml:space="preserve">  03_DYNAMIC_REBALANCING.md</w:t>
        <w:br/>
        <w:t xml:space="preserve">  04_DATA_PRIVACY_AND_AGGREGATION.md</w:t>
        <w:br/>
        <w:t xml:space="preserve">  05_API_AND_OUTPUT_CONTRACTS.md</w:t>
        <w:br/>
        <w:t xml:space="preserve">  06_TESTING_AND_BACKTESTING.md</w:t>
        <w:br/>
        <w:t xml:space="preserve">  07_IMPLEMENTATION_ROADMAP.md</w:t>
        <w:br/>
        <w:t xml:space="preserve">  08_RISKS_AND_OPEN_DECISIONS.md</w:t>
        <w:br/>
        <w:t xml:space="preserve">  adr/ADR-001 ... ADR-010</w:t>
      </w:r>
    </w:p>
    <w:p>
      <w:pPr>
        <w:pStyle w:val="Heading1"/>
        <w:keepNext/>
      </w:pPr>
      <w:r>
        <w:t>Anexo B. Nota de uso</w:t>
      </w:r>
    </w:p>
    <w:p>
      <w:r>
        <w:t>El documento consolidado sirve para estudio y revisión. El archivo ZIP es el artefacto operativo: se copia a la raíz del repositorio para que Kiro cargue sus instrucciones y specs. Las decisiones de umbrales y stack se consideran recomendaciones iniciales hasta su aprobación por el equipo.</w:t>
      </w:r>
    </w:p>
    <w:p>
      <w:pPr>
        <w:pStyle w:val="Heading1"/>
        <w:keepNext/>
      </w:pPr>
      <w:r>
        <w:t>Anexo C. Fuentes</w:t>
      </w:r>
    </w:p>
    <w:p>
      <w:r>
        <w:t>Documento base: “Guía simple - Benchmark de madurez para data centers. Motores y componentes del benchmark para data centers”.</w:t>
      </w:r>
    </w:p>
    <w:p>
      <w:r>
        <w:t>Documentación oficial de Kiro consultada: Steering, Agent Skills, Design-First Workflow y Specs Best Practices (consulta: agosto de 2026).</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Documento de arquitectura y decisiones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Benchmark de madurez para data centers | Arquitectura para Kiro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C37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169A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C37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C37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0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Benchmark Data Centers para Kiro</dc:title>
  <dc:subject>Arquitectura, Skill, AGENTS.md y ADR</dc:subject>
  <dc:creator>OpenAI</dc:creator>
  <cp:keywords>benchmark, data centers, Kiro, ADR, arquitectura, privacidad, scoring</cp:keywords>
  <dc:description>generated by python-docx</dc:description>
  <cp:lastModifiedBy/>
  <cp:revision>1</cp:revision>
  <dcterms:created xsi:type="dcterms:W3CDTF">2013-12-23T23:15:00Z</dcterms:created>
  <dcterms:modified xsi:type="dcterms:W3CDTF">2013-12-23T23:15:00Z</dcterms:modified>
  <cp:category/>
</cp:coreProperties>
</file>