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CE4" w:rsidRPr="008A1991" w:rsidRDefault="008A1991">
      <w:pPr>
        <w:pStyle w:val="Puesto"/>
        <w:jc w:val="center"/>
        <w:rPr>
          <w:b/>
          <w:sz w:val="56"/>
        </w:rPr>
      </w:pPr>
      <w:r w:rsidRPr="008A1991">
        <w:rPr>
          <w:b/>
          <w:sz w:val="56"/>
        </w:rPr>
        <w:t>Entregable 4: Análisis de Sensibilidad</w:t>
      </w:r>
    </w:p>
    <w:p w:rsidR="00472CE4" w:rsidRDefault="008A1991">
      <w:pPr>
        <w:pStyle w:val="Ttulo1"/>
      </w:pPr>
      <w:r>
        <w:t>Resumen Ejecutivo (El "Qué" y el "Por qué")</w:t>
      </w:r>
    </w:p>
    <w:p w:rsidR="008A1991" w:rsidRDefault="008A1991" w:rsidP="008A1991">
      <w:pPr>
        <w:spacing w:after="0"/>
        <w:jc w:val="both"/>
        <w:rPr>
          <w:sz w:val="24"/>
        </w:rPr>
      </w:pPr>
    </w:p>
    <w:p w:rsidR="00472CE4" w:rsidRPr="008A1991" w:rsidRDefault="008A1991" w:rsidP="008A1991">
      <w:pPr>
        <w:jc w:val="both"/>
        <w:rPr>
          <w:sz w:val="24"/>
        </w:rPr>
      </w:pPr>
      <w:r w:rsidRPr="008A1991">
        <w:rPr>
          <w:sz w:val="24"/>
        </w:rPr>
        <w:t xml:space="preserve">El </w:t>
      </w:r>
      <w:proofErr w:type="spellStart"/>
      <w:r w:rsidRPr="008A1991">
        <w:rPr>
          <w:sz w:val="24"/>
        </w:rPr>
        <w:t>siguiente</w:t>
      </w:r>
      <w:proofErr w:type="spellEnd"/>
      <w:r w:rsidRPr="008A1991">
        <w:rPr>
          <w:sz w:val="24"/>
        </w:rPr>
        <w:t xml:space="preserve"> </w:t>
      </w:r>
      <w:proofErr w:type="spellStart"/>
      <w:r w:rsidRPr="008A1991">
        <w:rPr>
          <w:sz w:val="24"/>
        </w:rPr>
        <w:t>análisis</w:t>
      </w:r>
      <w:proofErr w:type="spellEnd"/>
      <w:r w:rsidRPr="008A1991">
        <w:rPr>
          <w:sz w:val="24"/>
        </w:rPr>
        <w:t xml:space="preserve"> </w:t>
      </w:r>
      <w:proofErr w:type="spellStart"/>
      <w:r w:rsidRPr="008A1991">
        <w:rPr>
          <w:sz w:val="24"/>
        </w:rPr>
        <w:t>detalla</w:t>
      </w:r>
      <w:proofErr w:type="spellEnd"/>
      <w:r w:rsidRPr="008A1991">
        <w:rPr>
          <w:sz w:val="24"/>
        </w:rPr>
        <w:t xml:space="preserve"> las variables que mayor impacto financiero tienen sobre el cálculo de </w:t>
      </w:r>
      <w:proofErr w:type="gramStart"/>
      <w:r w:rsidRPr="008A1991">
        <w:rPr>
          <w:sz w:val="24"/>
        </w:rPr>
        <w:t>Stranded</w:t>
      </w:r>
      <w:proofErr w:type="gramEnd"/>
      <w:r w:rsidRPr="008A1991">
        <w:rPr>
          <w:sz w:val="24"/>
        </w:rPr>
        <w:t xml:space="preserve"> Capacity, ordenadas de mayor a menor sensibilidad:</w:t>
      </w:r>
    </w:p>
    <w:p w:rsidR="00472CE4" w:rsidRDefault="008A1991" w:rsidP="008A1991">
      <w:pPr>
        <w:pStyle w:val="Listaconnmeros"/>
        <w:jc w:val="both"/>
        <w:rPr>
          <w:sz w:val="24"/>
        </w:rPr>
      </w:pPr>
      <w:r w:rsidRPr="008A1991">
        <w:rPr>
          <w:b/>
          <w:sz w:val="24"/>
        </w:rPr>
        <w:t xml:space="preserve">Tarifa Eléctrica / Ubicación Geográfica (Mayor Impacto): </w:t>
      </w:r>
      <w:r w:rsidRPr="008A1991">
        <w:rPr>
          <w:sz w:val="24"/>
        </w:rPr>
        <w:t xml:space="preserve">Mueve más el resultado porque el costo no escala de forma lineal, sino exponencial. Según los datos de Nlyte, el costo operativo de </w:t>
      </w:r>
      <w:proofErr w:type="gramStart"/>
      <w:r w:rsidRPr="008A1991">
        <w:rPr>
          <w:sz w:val="24"/>
        </w:rPr>
        <w:t>un</w:t>
      </w:r>
      <w:proofErr w:type="gramEnd"/>
      <w:r w:rsidRPr="008A1991">
        <w:rPr>
          <w:sz w:val="24"/>
        </w:rPr>
        <w:t xml:space="preserve"> mismo rack puede cuadruplicarse (de ~$51,116 a ~$207,934) simple</w:t>
      </w:r>
      <w:r w:rsidRPr="008A1991">
        <w:rPr>
          <w:sz w:val="24"/>
        </w:rPr>
        <w:t xml:space="preserve">mente por la </w:t>
      </w:r>
      <w:proofErr w:type="spellStart"/>
      <w:r w:rsidRPr="008A1991">
        <w:rPr>
          <w:sz w:val="24"/>
        </w:rPr>
        <w:t>región</w:t>
      </w:r>
      <w:proofErr w:type="spellEnd"/>
      <w:r w:rsidRPr="008A1991">
        <w:rPr>
          <w:sz w:val="24"/>
        </w:rPr>
        <w:t xml:space="preserve"> </w:t>
      </w:r>
      <w:proofErr w:type="spellStart"/>
      <w:r w:rsidRPr="008A1991">
        <w:rPr>
          <w:sz w:val="24"/>
        </w:rPr>
        <w:t>donde</w:t>
      </w:r>
      <w:proofErr w:type="spellEnd"/>
      <w:r w:rsidRPr="008A1991">
        <w:rPr>
          <w:sz w:val="24"/>
        </w:rPr>
        <w:t xml:space="preserve"> </w:t>
      </w:r>
      <w:proofErr w:type="spellStart"/>
      <w:r w:rsidRPr="008A1991">
        <w:rPr>
          <w:sz w:val="24"/>
        </w:rPr>
        <w:t>esté</w:t>
      </w:r>
      <w:proofErr w:type="spellEnd"/>
      <w:r w:rsidRPr="008A1991">
        <w:rPr>
          <w:sz w:val="24"/>
        </w:rPr>
        <w:t xml:space="preserve"> </w:t>
      </w:r>
      <w:proofErr w:type="spellStart"/>
      <w:r w:rsidRPr="008A1991">
        <w:rPr>
          <w:sz w:val="24"/>
        </w:rPr>
        <w:t>instalado</w:t>
      </w:r>
      <w:proofErr w:type="spellEnd"/>
      <w:r w:rsidRPr="008A1991">
        <w:rPr>
          <w:sz w:val="24"/>
        </w:rPr>
        <w:t>.</w:t>
      </w:r>
    </w:p>
    <w:p w:rsidR="008A1991" w:rsidRPr="008A1991" w:rsidRDefault="008A1991" w:rsidP="008A1991">
      <w:pPr>
        <w:pStyle w:val="Listaconnmeros"/>
        <w:numPr>
          <w:ilvl w:val="0"/>
          <w:numId w:val="0"/>
        </w:numPr>
        <w:ind w:left="360"/>
        <w:jc w:val="both"/>
        <w:rPr>
          <w:sz w:val="24"/>
        </w:rPr>
      </w:pPr>
    </w:p>
    <w:p w:rsidR="00472CE4" w:rsidRDefault="008A1991" w:rsidP="008A1991">
      <w:pPr>
        <w:pStyle w:val="Listaconnmeros"/>
        <w:jc w:val="both"/>
        <w:rPr>
          <w:sz w:val="24"/>
        </w:rPr>
      </w:pPr>
      <w:r w:rsidRPr="008A1991">
        <w:rPr>
          <w:b/>
          <w:sz w:val="24"/>
        </w:rPr>
        <w:t xml:space="preserve">Tecnología de Enfriamiento / PUE (Alto Impacto): </w:t>
      </w:r>
      <w:r w:rsidRPr="008A1991">
        <w:rPr>
          <w:sz w:val="24"/>
        </w:rPr>
        <w:t xml:space="preserve">La transición </w:t>
      </w:r>
      <w:proofErr w:type="gramStart"/>
      <w:r w:rsidRPr="008A1991">
        <w:rPr>
          <w:sz w:val="24"/>
        </w:rPr>
        <w:t>del</w:t>
      </w:r>
      <w:proofErr w:type="gramEnd"/>
      <w:r w:rsidRPr="008A1991">
        <w:rPr>
          <w:sz w:val="24"/>
        </w:rPr>
        <w:t xml:space="preserve"> aire (PUE 1.58) al líquido (PUE 1.10) tiene un impacto doble: reduce directamente el multiplicador del consumo eléctrico y elimina hasta un 16% del</w:t>
      </w:r>
      <w:r w:rsidRPr="008A1991">
        <w:rPr>
          <w:sz w:val="24"/>
        </w:rPr>
        <w:t xml:space="preserve"> consumo a nivel de nodo al </w:t>
      </w:r>
      <w:proofErr w:type="spellStart"/>
      <w:r w:rsidRPr="008A1991">
        <w:rPr>
          <w:sz w:val="24"/>
        </w:rPr>
        <w:t>apagar</w:t>
      </w:r>
      <w:proofErr w:type="spellEnd"/>
      <w:r w:rsidRPr="008A1991">
        <w:rPr>
          <w:sz w:val="24"/>
        </w:rPr>
        <w:t xml:space="preserve"> </w:t>
      </w:r>
      <w:proofErr w:type="spellStart"/>
      <w:r w:rsidRPr="008A1991">
        <w:rPr>
          <w:sz w:val="24"/>
        </w:rPr>
        <w:t>los</w:t>
      </w:r>
      <w:proofErr w:type="spellEnd"/>
      <w:r w:rsidRPr="008A1991">
        <w:rPr>
          <w:sz w:val="24"/>
        </w:rPr>
        <w:t xml:space="preserve"> </w:t>
      </w:r>
      <w:proofErr w:type="spellStart"/>
      <w:r w:rsidRPr="008A1991">
        <w:rPr>
          <w:sz w:val="24"/>
        </w:rPr>
        <w:t>ventiladores</w:t>
      </w:r>
      <w:proofErr w:type="spellEnd"/>
      <w:r w:rsidRPr="008A1991">
        <w:rPr>
          <w:sz w:val="24"/>
        </w:rPr>
        <w:t xml:space="preserve"> IT.</w:t>
      </w:r>
    </w:p>
    <w:p w:rsidR="008A1991" w:rsidRPr="008A1991" w:rsidRDefault="008A1991" w:rsidP="008A1991">
      <w:pPr>
        <w:pStyle w:val="Listaconnmeros"/>
        <w:numPr>
          <w:ilvl w:val="0"/>
          <w:numId w:val="0"/>
        </w:numPr>
        <w:jc w:val="both"/>
        <w:rPr>
          <w:sz w:val="24"/>
        </w:rPr>
      </w:pPr>
    </w:p>
    <w:p w:rsidR="00472CE4" w:rsidRDefault="008A1991" w:rsidP="008A1991">
      <w:pPr>
        <w:pStyle w:val="Listaconnmeros"/>
        <w:jc w:val="both"/>
        <w:rPr>
          <w:sz w:val="24"/>
        </w:rPr>
      </w:pPr>
      <w:r w:rsidRPr="008A1991">
        <w:rPr>
          <w:b/>
          <w:sz w:val="24"/>
        </w:rPr>
        <w:t xml:space="preserve">Tasa de Utilización IT / Sobre-provisión (Impacto Medio-Alto): </w:t>
      </w:r>
      <w:r w:rsidRPr="008A1991">
        <w:rPr>
          <w:sz w:val="24"/>
        </w:rPr>
        <w:t xml:space="preserve">Dicta la cantidad base de hardware "varado". Como demostró Microsoft GFS, una desviación no detectada en las trazas puede generar hasta </w:t>
      </w:r>
      <w:proofErr w:type="gramStart"/>
      <w:r w:rsidRPr="008A1991">
        <w:rPr>
          <w:sz w:val="24"/>
        </w:rPr>
        <w:t>u</w:t>
      </w:r>
      <w:r w:rsidRPr="008A1991">
        <w:rPr>
          <w:sz w:val="24"/>
        </w:rPr>
        <w:t>n</w:t>
      </w:r>
      <w:proofErr w:type="gramEnd"/>
      <w:r w:rsidRPr="008A1991">
        <w:rPr>
          <w:sz w:val="24"/>
        </w:rPr>
        <w:t xml:space="preserve"> 13% de sobre-provisión </w:t>
      </w:r>
      <w:proofErr w:type="spellStart"/>
      <w:r w:rsidRPr="008A1991">
        <w:rPr>
          <w:sz w:val="24"/>
        </w:rPr>
        <w:t>estructural</w:t>
      </w:r>
      <w:proofErr w:type="spellEnd"/>
      <w:r w:rsidRPr="008A1991">
        <w:rPr>
          <w:sz w:val="24"/>
        </w:rPr>
        <w:t xml:space="preserve">, </w:t>
      </w:r>
      <w:proofErr w:type="spellStart"/>
      <w:r w:rsidRPr="008A1991">
        <w:rPr>
          <w:sz w:val="24"/>
        </w:rPr>
        <w:t>inmovilizando</w:t>
      </w:r>
      <w:proofErr w:type="spellEnd"/>
      <w:r w:rsidRPr="008A1991">
        <w:rPr>
          <w:sz w:val="24"/>
        </w:rPr>
        <w:t xml:space="preserve"> el CAPEX.</w:t>
      </w:r>
    </w:p>
    <w:p w:rsidR="008A1991" w:rsidRPr="008A1991" w:rsidRDefault="008A1991" w:rsidP="008A1991">
      <w:pPr>
        <w:pStyle w:val="Listaconnmeros"/>
        <w:numPr>
          <w:ilvl w:val="0"/>
          <w:numId w:val="0"/>
        </w:numPr>
        <w:jc w:val="both"/>
        <w:rPr>
          <w:sz w:val="24"/>
        </w:rPr>
      </w:pPr>
    </w:p>
    <w:p w:rsidR="008A1991" w:rsidRDefault="008A1991" w:rsidP="008A1991">
      <w:pPr>
        <w:pStyle w:val="Listaconnmeros"/>
        <w:jc w:val="both"/>
        <w:rPr>
          <w:sz w:val="24"/>
        </w:rPr>
      </w:pPr>
      <w:r w:rsidRPr="008A1991">
        <w:rPr>
          <w:b/>
          <w:sz w:val="24"/>
        </w:rPr>
        <w:t xml:space="preserve">Rendimiento Térmico / DVFS (Impacto Medio): </w:t>
      </w:r>
      <w:r w:rsidRPr="008A1991">
        <w:rPr>
          <w:sz w:val="24"/>
        </w:rPr>
        <w:t xml:space="preserve">Los límites de temperatura (throttling) por encima de los 71°C pueden degradar el rendimiento computacional hasta en un 17%, obligando a encender más </w:t>
      </w:r>
      <w:r w:rsidRPr="008A1991">
        <w:rPr>
          <w:sz w:val="24"/>
        </w:rPr>
        <w:t xml:space="preserve">servidores para </w:t>
      </w:r>
      <w:proofErr w:type="spellStart"/>
      <w:r w:rsidRPr="008A1991">
        <w:rPr>
          <w:sz w:val="24"/>
        </w:rPr>
        <w:t>lograr</w:t>
      </w:r>
      <w:proofErr w:type="spellEnd"/>
      <w:r w:rsidRPr="008A1991">
        <w:rPr>
          <w:sz w:val="24"/>
        </w:rPr>
        <w:t xml:space="preserve"> el </w:t>
      </w:r>
      <w:proofErr w:type="spellStart"/>
      <w:r w:rsidRPr="008A1991">
        <w:rPr>
          <w:sz w:val="24"/>
        </w:rPr>
        <w:t>mismo</w:t>
      </w:r>
      <w:proofErr w:type="spellEnd"/>
      <w:r w:rsidRPr="008A1991">
        <w:rPr>
          <w:sz w:val="24"/>
        </w:rPr>
        <w:t xml:space="preserve"> </w:t>
      </w:r>
      <w:proofErr w:type="spellStart"/>
      <w:r w:rsidRPr="008A1991">
        <w:rPr>
          <w:sz w:val="24"/>
        </w:rPr>
        <w:t>trabajo</w:t>
      </w:r>
      <w:proofErr w:type="spellEnd"/>
      <w:r w:rsidRPr="008A1991">
        <w:rPr>
          <w:sz w:val="24"/>
        </w:rPr>
        <w:t>.</w:t>
      </w:r>
    </w:p>
    <w:p w:rsidR="008A1991" w:rsidRDefault="008A1991" w:rsidP="008A1991">
      <w:r>
        <w:br w:type="page"/>
      </w:r>
    </w:p>
    <w:p w:rsidR="00472CE4" w:rsidRDefault="008A1991">
      <w:pPr>
        <w:pStyle w:val="Ttulo1"/>
      </w:pPr>
      <w:proofErr w:type="spellStart"/>
      <w:r>
        <w:lastRenderedPageBreak/>
        <w:t>Gráfico</w:t>
      </w:r>
      <w:proofErr w:type="spellEnd"/>
      <w:r>
        <w:t xml:space="preserve"> de </w:t>
      </w:r>
      <w:proofErr w:type="spellStart"/>
      <w:r>
        <w:t>Sensibilidad</w:t>
      </w:r>
      <w:proofErr w:type="spellEnd"/>
      <w:r>
        <w:t xml:space="preserve"> (Tornado Chart)</w:t>
      </w:r>
    </w:p>
    <w:p w:rsidR="008A1991" w:rsidRPr="008A1991" w:rsidRDefault="008A1991" w:rsidP="008A1991">
      <w:pPr>
        <w:spacing w:after="0"/>
      </w:pPr>
    </w:p>
    <w:p w:rsidR="008A1991" w:rsidRPr="008A1991" w:rsidRDefault="008A1991" w:rsidP="008A1991">
      <w:pPr>
        <w:jc w:val="both"/>
        <w:rPr>
          <w:sz w:val="24"/>
        </w:rPr>
      </w:pPr>
      <w:r w:rsidRPr="008A1991">
        <w:rPr>
          <w:sz w:val="24"/>
        </w:rPr>
        <w:t xml:space="preserve">A continuación se visualiza el impacto porcentual de cada variable frente a </w:t>
      </w:r>
      <w:proofErr w:type="gramStart"/>
      <w:r w:rsidRPr="008A1991">
        <w:rPr>
          <w:sz w:val="24"/>
        </w:rPr>
        <w:t>un</w:t>
      </w:r>
      <w:proofErr w:type="gramEnd"/>
      <w:r w:rsidRPr="008A1991">
        <w:rPr>
          <w:sz w:val="24"/>
        </w:rPr>
        <w:t xml:space="preserve"> </w:t>
      </w:r>
      <w:proofErr w:type="spellStart"/>
      <w:r w:rsidRPr="008A1991">
        <w:rPr>
          <w:sz w:val="24"/>
        </w:rPr>
        <w:t>escenario</w:t>
      </w:r>
      <w:proofErr w:type="spellEnd"/>
      <w:r w:rsidRPr="008A1991">
        <w:rPr>
          <w:sz w:val="24"/>
        </w:rPr>
        <w:t xml:space="preserve"> base:</w:t>
      </w:r>
    </w:p>
    <w:p w:rsidR="008A1991" w:rsidRDefault="008A1991" w:rsidP="008A1991">
      <w:r>
        <w:rPr>
          <w:noProof/>
        </w:rPr>
        <w:drawing>
          <wp:inline distT="0" distB="0" distL="0" distR="0">
            <wp:extent cx="5625053" cy="3325813"/>
            <wp:effectExtent l="0" t="0" r="0" b="8255"/>
            <wp:docPr id="1" name="Imagen 1" descr="C:\Users\josea\Downloads\Code_Generated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osea\Downloads\Code_Generated_Imag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70" cy="334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CE4" w:rsidRDefault="00472CE4">
      <w:bookmarkStart w:id="0" w:name="_GoBack"/>
      <w:bookmarkEnd w:id="0"/>
    </w:p>
    <w:sectPr w:rsidR="00472C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AA048A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CE4"/>
    <w:rsid w:val="008A19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E215A64-7EE1-433A-97EA-C5EB1EC2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A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05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8F58D4-85C7-4B92-B1C0-29A2A2400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223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2026-07-26T01:50:00Z</dcterms:modified>
  <cp:category/>
</cp:coreProperties>
</file>