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4187" w:rsidRDefault="00012E80">
      <w:pPr>
        <w:pStyle w:val="Puesto"/>
        <w:jc w:val="center"/>
      </w:pPr>
      <w:r>
        <w:t>Entregable 5: Docu</w:t>
      </w:r>
      <w:bookmarkStart w:id="0" w:name="_GoBack"/>
      <w:bookmarkEnd w:id="0"/>
      <w:r>
        <w:t>mento de Supuestos Públicos y Transparencia</w:t>
      </w:r>
    </w:p>
    <w:p w:rsidR="00214187" w:rsidRDefault="00012E80">
      <w:pPr>
        <w:pStyle w:val="Ttulo1"/>
      </w:pPr>
      <w:r>
        <w:t>1. Declaración de Honestidad del Modelo</w:t>
      </w:r>
    </w:p>
    <w:p w:rsidR="00214187" w:rsidRDefault="00012E80" w:rsidP="00012E80">
      <w:pPr>
        <w:jc w:val="both"/>
      </w:pPr>
      <w:r>
        <w:t xml:space="preserve">Este modelo de estimación de Stranded Capacity ha sido diseñado bajo un enfoque determinístico de Floor &amp; Ceiling (Suelo y Techo). No es una bola de </w:t>
      </w:r>
      <w:r>
        <w:t>cristal financiera, sino una herramienta de contención de riesgos. Su objetivo no es predecir el centavo exacto que se perderá en 2035, sino establecer los límites matemáticos dentro de los cuales la operación de un Data Center de IA deja de ser financiera</w:t>
      </w:r>
      <w:r>
        <w:t>mente viable frente a la alternativa de Colocation.</w:t>
      </w:r>
    </w:p>
    <w:p w:rsidR="00214187" w:rsidRDefault="00012E80">
      <w:pPr>
        <w:pStyle w:val="Ttulo1"/>
      </w:pPr>
      <w:r>
        <w:t>2. Origen de los Datos (Single Source of Truth)</w:t>
      </w:r>
    </w:p>
    <w:p w:rsidR="00214187" w:rsidRDefault="00012E80" w:rsidP="00012E80">
      <w:pPr>
        <w:jc w:val="both"/>
      </w:pPr>
      <w:r>
        <w:t>Todos los cálculos presentados dependen de las siguientes métricas base de la industria:</w:t>
      </w:r>
    </w:p>
    <w:p w:rsidR="00214187" w:rsidRDefault="00012E80" w:rsidP="00012E80">
      <w:pPr>
        <w:pStyle w:val="Listaconvietas"/>
        <w:jc w:val="both"/>
      </w:pPr>
      <w:r>
        <w:rPr>
          <w:b/>
        </w:rPr>
        <w:t xml:space="preserve">Sobre-provisión Estructural (13%): </w:t>
      </w:r>
      <w:r>
        <w:t xml:space="preserve">Asumimos que los picos de carga </w:t>
      </w:r>
      <w:r>
        <w:t>obligan a mantener hardware ocioso. Este techo es extraído de las trazas de utilización de Microsoft GFS.</w:t>
      </w:r>
    </w:p>
    <w:p w:rsidR="00214187" w:rsidRDefault="00012E80" w:rsidP="00012E80">
      <w:pPr>
        <w:pStyle w:val="Listaconvietas"/>
        <w:jc w:val="both"/>
      </w:pPr>
      <w:r>
        <w:rPr>
          <w:b/>
        </w:rPr>
        <w:t xml:space="preserve">Eficiencia Térmica (16% y 71°C): </w:t>
      </w:r>
      <w:r>
        <w:t>El ahorro energético del 16% a nivel nodo y el límite térmico de 71°C provienen de las pruebas empíricas publicadas p</w:t>
      </w:r>
      <w:r>
        <w:t>or Supermicro en arquitecturas líquidas vs. aire.</w:t>
      </w:r>
    </w:p>
    <w:p w:rsidR="00214187" w:rsidRDefault="00012E80" w:rsidP="00012E80">
      <w:pPr>
        <w:pStyle w:val="Listaconvietas"/>
        <w:jc w:val="both"/>
      </w:pPr>
      <w:r>
        <w:rPr>
          <w:b/>
        </w:rPr>
        <w:t xml:space="preserve">Volatilidad de Tarifa Eléctrica: </w:t>
      </w:r>
      <w:r>
        <w:t>El modelo utiliza los extremos geográficos de Nlyte, asumiendo que un mismo rack puede costar desde $51,116 USD hasta $207,934 USD anuales.</w:t>
      </w:r>
    </w:p>
    <w:p w:rsidR="00214187" w:rsidRDefault="00012E80" w:rsidP="00012E80">
      <w:pPr>
        <w:pStyle w:val="Listaconvietas"/>
        <w:jc w:val="both"/>
      </w:pPr>
      <w:r>
        <w:rPr>
          <w:b/>
        </w:rPr>
        <w:t xml:space="preserve">Techo de Mercado (Colocation): </w:t>
      </w:r>
      <w:r>
        <w:t>Fi</w:t>
      </w:r>
      <w:r>
        <w:t>jamos el costo de oportunidad estricto en $184/kW/mes.</w:t>
      </w:r>
    </w:p>
    <w:p w:rsidR="00214187" w:rsidRDefault="00012E80">
      <w:pPr>
        <w:pStyle w:val="Ttulo1"/>
      </w:pPr>
      <w:r>
        <w:t>3. Limitaciones Reconocidas (Lo que el modelo excluye)</w:t>
      </w:r>
    </w:p>
    <w:p w:rsidR="00214187" w:rsidRDefault="00012E80" w:rsidP="00012E80">
      <w:pPr>
        <w:jc w:val="both"/>
      </w:pPr>
      <w:r>
        <w:t>Para mantener la integridad auditable, declaramos que este simulador asume condiciones estáticas en áreas que son dinámicas:</w:t>
      </w:r>
    </w:p>
    <w:p w:rsidR="00214187" w:rsidRDefault="00012E80" w:rsidP="00012E80">
      <w:pPr>
        <w:pStyle w:val="Listaconvietas"/>
        <w:jc w:val="both"/>
      </w:pPr>
      <w:r>
        <w:rPr>
          <w:b/>
        </w:rPr>
        <w:t>Exclusión de Inflació</w:t>
      </w:r>
      <w:r>
        <w:rPr>
          <w:b/>
        </w:rPr>
        <w:t xml:space="preserve">n y Fluctuación Energética: </w:t>
      </w:r>
      <w:r>
        <w:t>El TCO asume una tarifa eléctrica promediada. No modela crisis energéticas ni aumentos dinámicos por inflación macroeconómica.</w:t>
      </w:r>
    </w:p>
    <w:p w:rsidR="00214187" w:rsidRDefault="00012E80" w:rsidP="00012E80">
      <w:pPr>
        <w:pStyle w:val="Listaconvietas"/>
        <w:jc w:val="both"/>
      </w:pPr>
      <w:r>
        <w:rPr>
          <w:b/>
        </w:rPr>
        <w:t xml:space="preserve">PUE Lineal: </w:t>
      </w:r>
      <w:r>
        <w:t>El modelo asume un PUE constante, ignorando las fluctuaciones estacionales (verano vs. in</w:t>
      </w:r>
      <w:r>
        <w:t>vierno).</w:t>
      </w:r>
    </w:p>
    <w:p w:rsidR="00214187" w:rsidRDefault="00012E80" w:rsidP="00012E80">
      <w:pPr>
        <w:pStyle w:val="Listaconvietas"/>
        <w:jc w:val="both"/>
      </w:pPr>
      <w:r>
        <w:rPr>
          <w:b/>
        </w:rPr>
        <w:t xml:space="preserve">Ciclo de Vida de Hardware Homogéneo: </w:t>
      </w:r>
      <w:r>
        <w:t>Asumimos una amortización plana, sin contemplar depreciación acelerada por obsolescencia de GPUs.</w:t>
      </w:r>
    </w:p>
    <w:p w:rsidR="00214187" w:rsidRDefault="00012E80">
      <w:pPr>
        <w:pStyle w:val="Ttulo1"/>
      </w:pPr>
      <w:r>
        <w:lastRenderedPageBreak/>
        <w:t>4. Justificación del Uso de Rangos</w:t>
      </w:r>
    </w:p>
    <w:p w:rsidR="00214187" w:rsidRDefault="00012E80" w:rsidP="00012E80">
      <w:pPr>
        <w:jc w:val="both"/>
      </w:pPr>
      <w:r>
        <w:t>Debido a las limitaciones mencionadas, el modelo tiene prohibido emitir valor</w:t>
      </w:r>
      <w:r>
        <w:t>es absolutos. Todo resultado financiero se entrega con un límite inferior y superior. Presentar un número estático único constituiría una "falsa precisión" y una mala práctica analítica.</w:t>
      </w:r>
    </w:p>
    <w:sectPr w:rsidR="002141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2E80"/>
    <w:rsid w:val="00034616"/>
    <w:rsid w:val="0006063C"/>
    <w:rsid w:val="0015074B"/>
    <w:rsid w:val="00214187"/>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A4495AA-9D3E-41BB-A71E-F2AF854E6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BAEE6-BA85-47FF-B21A-C4F0BC864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343</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Cuenta Microsoft</cp:lastModifiedBy>
  <cp:revision>2</cp:revision>
  <dcterms:created xsi:type="dcterms:W3CDTF">2013-12-23T23:15:00Z</dcterms:created>
  <dcterms:modified xsi:type="dcterms:W3CDTF">2026-07-26T01:58:00Z</dcterms:modified>
  <cp:category/>
</cp:coreProperties>
</file>