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034D" w:rsidRPr="0012034D" w:rsidRDefault="0012034D" w:rsidP="0012034D">
      <w:pPr>
        <w:spacing w:before="100" w:beforeAutospacing="1" w:after="100" w:afterAutospacing="1" w:line="240" w:lineRule="auto"/>
        <w:jc w:val="both"/>
        <w:rPr>
          <w:rFonts w:ascii="Times New Roman" w:eastAsia="Times New Roman" w:hAnsi="Times New Roman" w:cs="Times New Roman"/>
          <w:b/>
          <w:sz w:val="24"/>
          <w:szCs w:val="24"/>
          <w:lang w:eastAsia="es-MX"/>
        </w:rPr>
      </w:pPr>
      <w:bookmarkStart w:id="0" w:name="_GoBack"/>
      <w:r w:rsidRPr="0012034D">
        <w:rPr>
          <w:rFonts w:ascii="Times New Roman" w:eastAsia="Times New Roman" w:hAnsi="Times New Roman" w:cs="Times New Roman"/>
          <w:b/>
          <w:sz w:val="24"/>
          <w:szCs w:val="24"/>
          <w:lang w:eastAsia="es-MX"/>
        </w:rPr>
        <w:t>INFO</w:t>
      </w:r>
    </w:p>
    <w:bookmarkEnd w:id="0"/>
    <w:p w:rsidR="0012034D" w:rsidRDefault="0012034D" w:rsidP="0012034D">
      <w:pPr>
        <w:spacing w:before="100" w:beforeAutospacing="1" w:after="100" w:afterAutospacing="1" w:line="240" w:lineRule="auto"/>
        <w:jc w:val="both"/>
        <w:rPr>
          <w:rFonts w:ascii="Times New Roman" w:eastAsia="Times New Roman" w:hAnsi="Times New Roman" w:cs="Times New Roman"/>
          <w:sz w:val="24"/>
          <w:szCs w:val="24"/>
          <w:lang w:eastAsia="es-MX"/>
        </w:rPr>
      </w:pPr>
    </w:p>
    <w:p w:rsidR="0012034D" w:rsidRPr="0012034D" w:rsidRDefault="0012034D" w:rsidP="0012034D">
      <w:pPr>
        <w:spacing w:before="100" w:beforeAutospacing="1" w:after="100" w:afterAutospacing="1" w:line="240" w:lineRule="auto"/>
        <w:jc w:val="both"/>
        <w:rPr>
          <w:rFonts w:ascii="Times New Roman" w:eastAsia="Times New Roman" w:hAnsi="Times New Roman" w:cs="Times New Roman"/>
          <w:sz w:val="24"/>
          <w:szCs w:val="24"/>
          <w:lang w:eastAsia="es-MX"/>
        </w:rPr>
      </w:pPr>
      <w:r w:rsidRPr="0012034D">
        <w:rPr>
          <w:rFonts w:ascii="Times New Roman" w:eastAsia="Times New Roman" w:hAnsi="Times New Roman" w:cs="Times New Roman"/>
          <w:sz w:val="24"/>
          <w:szCs w:val="24"/>
          <w:lang w:eastAsia="es-MX"/>
        </w:rPr>
        <w:t>El rigor de la ingeniería industrial y de sistemas exige que un modelo matemático exponga claramente sus propios límites. Al igual que al reportar eficiencias operativas y gestionar márgenes en el sector de maquinaria, la dirección corporativa o los clientes necesitan saber exactamente dónde hay incertidumbre y de dónde salen los números para confiar en tus proyecciones.</w:t>
      </w:r>
    </w:p>
    <w:p w:rsidR="0012034D" w:rsidRPr="0012034D" w:rsidRDefault="0012034D" w:rsidP="0012034D">
      <w:pPr>
        <w:spacing w:before="100" w:beforeAutospacing="1" w:after="100" w:afterAutospacing="1" w:line="240" w:lineRule="auto"/>
        <w:jc w:val="both"/>
        <w:rPr>
          <w:rFonts w:ascii="Times New Roman" w:eastAsia="Times New Roman" w:hAnsi="Times New Roman" w:cs="Times New Roman"/>
          <w:sz w:val="24"/>
          <w:szCs w:val="24"/>
          <w:lang w:eastAsia="es-MX"/>
        </w:rPr>
      </w:pPr>
      <w:r w:rsidRPr="0012034D">
        <w:rPr>
          <w:rFonts w:ascii="Times New Roman" w:eastAsia="Times New Roman" w:hAnsi="Times New Roman" w:cs="Times New Roman"/>
          <w:sz w:val="24"/>
          <w:szCs w:val="24"/>
          <w:lang w:eastAsia="es-MX"/>
        </w:rPr>
        <w:t xml:space="preserve">Para cumplir con el requisito de ser </w:t>
      </w:r>
      <w:r w:rsidRPr="0012034D">
        <w:rPr>
          <w:rFonts w:ascii="Times New Roman" w:eastAsia="Times New Roman" w:hAnsi="Times New Roman" w:cs="Times New Roman"/>
          <w:b/>
          <w:bCs/>
          <w:sz w:val="24"/>
          <w:szCs w:val="24"/>
          <w:lang w:eastAsia="es-MX"/>
        </w:rPr>
        <w:t>"auditablemente honesto"</w:t>
      </w:r>
      <w:r w:rsidRPr="0012034D">
        <w:rPr>
          <w:rFonts w:ascii="Times New Roman" w:eastAsia="Times New Roman" w:hAnsi="Times New Roman" w:cs="Times New Roman"/>
          <w:sz w:val="24"/>
          <w:szCs w:val="24"/>
          <w:lang w:eastAsia="es-MX"/>
        </w:rPr>
        <w:t xml:space="preserve">, este documento no solo debe listar los datos, sino </w:t>
      </w:r>
      <w:r w:rsidRPr="0012034D">
        <w:rPr>
          <w:rFonts w:ascii="Times New Roman" w:eastAsia="Times New Roman" w:hAnsi="Times New Roman" w:cs="Times New Roman"/>
          <w:b/>
          <w:bCs/>
          <w:sz w:val="24"/>
          <w:szCs w:val="24"/>
          <w:lang w:eastAsia="es-MX"/>
        </w:rPr>
        <w:t>confesar lo que el modelo NO hace</w:t>
      </w:r>
      <w:r w:rsidRPr="0012034D">
        <w:rPr>
          <w:rFonts w:ascii="Times New Roman" w:eastAsia="Times New Roman" w:hAnsi="Times New Roman" w:cs="Times New Roman"/>
          <w:sz w:val="24"/>
          <w:szCs w:val="24"/>
          <w:lang w:eastAsia="es-MX"/>
        </w:rPr>
        <w:t xml:space="preserve"> y reconocer las variables que podrían cambiar.</w:t>
      </w:r>
    </w:p>
    <w:p w:rsidR="0012034D" w:rsidRPr="0012034D" w:rsidRDefault="0012034D" w:rsidP="0012034D">
      <w:pPr>
        <w:spacing w:before="100" w:beforeAutospacing="1" w:after="100" w:afterAutospacing="1" w:line="240" w:lineRule="auto"/>
        <w:jc w:val="both"/>
        <w:rPr>
          <w:rFonts w:ascii="Times New Roman" w:eastAsia="Times New Roman" w:hAnsi="Times New Roman" w:cs="Times New Roman"/>
          <w:sz w:val="24"/>
          <w:szCs w:val="24"/>
          <w:lang w:eastAsia="es-MX"/>
        </w:rPr>
      </w:pPr>
      <w:r w:rsidRPr="0012034D">
        <w:rPr>
          <w:rFonts w:ascii="Times New Roman" w:eastAsia="Times New Roman" w:hAnsi="Times New Roman" w:cs="Times New Roman"/>
          <w:sz w:val="24"/>
          <w:szCs w:val="24"/>
          <w:lang w:eastAsia="es-MX"/>
        </w:rPr>
        <w:t>Aquí tienes la redacción estructurada para este entregable.</w:t>
      </w:r>
    </w:p>
    <w:p w:rsidR="0012034D" w:rsidRPr="0012034D" w:rsidRDefault="0012034D" w:rsidP="0012034D">
      <w:pPr>
        <w:spacing w:before="100" w:beforeAutospacing="1" w:after="100" w:afterAutospacing="1" w:line="240" w:lineRule="auto"/>
        <w:jc w:val="both"/>
        <w:outlineLvl w:val="2"/>
        <w:rPr>
          <w:rFonts w:ascii="Times New Roman" w:eastAsia="Times New Roman" w:hAnsi="Times New Roman" w:cs="Times New Roman"/>
          <w:b/>
          <w:bCs/>
          <w:sz w:val="27"/>
          <w:szCs w:val="27"/>
          <w:lang w:eastAsia="es-MX"/>
        </w:rPr>
      </w:pPr>
      <w:r w:rsidRPr="0012034D">
        <w:rPr>
          <w:rFonts w:ascii="Times New Roman" w:eastAsia="Times New Roman" w:hAnsi="Times New Roman" w:cs="Times New Roman"/>
          <w:b/>
          <w:bCs/>
          <w:sz w:val="27"/>
          <w:szCs w:val="27"/>
          <w:lang w:eastAsia="es-MX"/>
        </w:rPr>
        <w:t>Documento de Transparencia y Supuestos del Modelo (</w:t>
      </w:r>
      <w:proofErr w:type="spellStart"/>
      <w:r w:rsidRPr="0012034D">
        <w:rPr>
          <w:rFonts w:ascii="Times New Roman" w:eastAsia="Times New Roman" w:hAnsi="Times New Roman" w:cs="Times New Roman"/>
          <w:b/>
          <w:bCs/>
          <w:sz w:val="27"/>
          <w:szCs w:val="27"/>
          <w:lang w:eastAsia="es-MX"/>
        </w:rPr>
        <w:t>Public-Facing</w:t>
      </w:r>
      <w:proofErr w:type="spellEnd"/>
      <w:r w:rsidRPr="0012034D">
        <w:rPr>
          <w:rFonts w:ascii="Times New Roman" w:eastAsia="Times New Roman" w:hAnsi="Times New Roman" w:cs="Times New Roman"/>
          <w:b/>
          <w:bCs/>
          <w:sz w:val="27"/>
          <w:szCs w:val="27"/>
          <w:lang w:eastAsia="es-MX"/>
        </w:rPr>
        <w:t>)</w:t>
      </w:r>
    </w:p>
    <w:p w:rsidR="0012034D" w:rsidRPr="0012034D" w:rsidRDefault="0012034D" w:rsidP="0012034D">
      <w:pPr>
        <w:spacing w:before="100" w:beforeAutospacing="1" w:after="100" w:afterAutospacing="1" w:line="240" w:lineRule="auto"/>
        <w:jc w:val="both"/>
        <w:rPr>
          <w:rFonts w:ascii="Times New Roman" w:eastAsia="Times New Roman" w:hAnsi="Times New Roman" w:cs="Times New Roman"/>
          <w:sz w:val="24"/>
          <w:szCs w:val="24"/>
          <w:lang w:eastAsia="es-MX"/>
        </w:rPr>
      </w:pPr>
      <w:r w:rsidRPr="0012034D">
        <w:rPr>
          <w:rFonts w:ascii="Times New Roman" w:eastAsia="Times New Roman" w:hAnsi="Times New Roman" w:cs="Times New Roman"/>
          <w:b/>
          <w:bCs/>
          <w:sz w:val="24"/>
          <w:szCs w:val="24"/>
          <w:lang w:eastAsia="es-MX"/>
        </w:rPr>
        <w:t>1. Declaración de Honestidad del Modelo</w:t>
      </w:r>
      <w:r w:rsidRPr="0012034D">
        <w:rPr>
          <w:rFonts w:ascii="Times New Roman" w:eastAsia="Times New Roman" w:hAnsi="Times New Roman" w:cs="Times New Roman"/>
          <w:sz w:val="24"/>
          <w:szCs w:val="24"/>
          <w:lang w:eastAsia="es-MX"/>
        </w:rPr>
        <w:t xml:space="preserve"> Este modelo de estimación de </w:t>
      </w:r>
      <w:proofErr w:type="spellStart"/>
      <w:r w:rsidRPr="0012034D">
        <w:rPr>
          <w:rFonts w:ascii="Times New Roman" w:eastAsia="Times New Roman" w:hAnsi="Times New Roman" w:cs="Times New Roman"/>
          <w:i/>
          <w:iCs/>
          <w:sz w:val="24"/>
          <w:szCs w:val="24"/>
          <w:lang w:eastAsia="es-MX"/>
        </w:rPr>
        <w:t>Stranded</w:t>
      </w:r>
      <w:proofErr w:type="spellEnd"/>
      <w:r w:rsidRPr="0012034D">
        <w:rPr>
          <w:rFonts w:ascii="Times New Roman" w:eastAsia="Times New Roman" w:hAnsi="Times New Roman" w:cs="Times New Roman"/>
          <w:i/>
          <w:iCs/>
          <w:sz w:val="24"/>
          <w:szCs w:val="24"/>
          <w:lang w:eastAsia="es-MX"/>
        </w:rPr>
        <w:t xml:space="preserve"> </w:t>
      </w:r>
      <w:proofErr w:type="spellStart"/>
      <w:r w:rsidRPr="0012034D">
        <w:rPr>
          <w:rFonts w:ascii="Times New Roman" w:eastAsia="Times New Roman" w:hAnsi="Times New Roman" w:cs="Times New Roman"/>
          <w:i/>
          <w:iCs/>
          <w:sz w:val="24"/>
          <w:szCs w:val="24"/>
          <w:lang w:eastAsia="es-MX"/>
        </w:rPr>
        <w:t>Capacity</w:t>
      </w:r>
      <w:proofErr w:type="spellEnd"/>
      <w:r w:rsidRPr="0012034D">
        <w:rPr>
          <w:rFonts w:ascii="Times New Roman" w:eastAsia="Times New Roman" w:hAnsi="Times New Roman" w:cs="Times New Roman"/>
          <w:sz w:val="24"/>
          <w:szCs w:val="24"/>
          <w:lang w:eastAsia="es-MX"/>
        </w:rPr>
        <w:t xml:space="preserve"> ha sido diseñado bajo un enfoque determinístico de </w:t>
      </w:r>
      <w:proofErr w:type="spellStart"/>
      <w:r w:rsidRPr="0012034D">
        <w:rPr>
          <w:rFonts w:ascii="Times New Roman" w:eastAsia="Times New Roman" w:hAnsi="Times New Roman" w:cs="Times New Roman"/>
          <w:sz w:val="24"/>
          <w:szCs w:val="24"/>
          <w:lang w:eastAsia="es-MX"/>
        </w:rPr>
        <w:t>Floor</w:t>
      </w:r>
      <w:proofErr w:type="spellEnd"/>
      <w:r w:rsidRPr="0012034D">
        <w:rPr>
          <w:rFonts w:ascii="Times New Roman" w:eastAsia="Times New Roman" w:hAnsi="Times New Roman" w:cs="Times New Roman"/>
          <w:sz w:val="24"/>
          <w:szCs w:val="24"/>
          <w:lang w:eastAsia="es-MX"/>
        </w:rPr>
        <w:t xml:space="preserve"> &amp; </w:t>
      </w:r>
      <w:proofErr w:type="spellStart"/>
      <w:r w:rsidRPr="0012034D">
        <w:rPr>
          <w:rFonts w:ascii="Times New Roman" w:eastAsia="Times New Roman" w:hAnsi="Times New Roman" w:cs="Times New Roman"/>
          <w:sz w:val="24"/>
          <w:szCs w:val="24"/>
          <w:lang w:eastAsia="es-MX"/>
        </w:rPr>
        <w:t>Ceiling</w:t>
      </w:r>
      <w:proofErr w:type="spellEnd"/>
      <w:r w:rsidRPr="0012034D">
        <w:rPr>
          <w:rFonts w:ascii="Times New Roman" w:eastAsia="Times New Roman" w:hAnsi="Times New Roman" w:cs="Times New Roman"/>
          <w:sz w:val="24"/>
          <w:szCs w:val="24"/>
          <w:lang w:eastAsia="es-MX"/>
        </w:rPr>
        <w:t xml:space="preserve"> (Suelo y Techo). No es una bola de cristal financiera, sino una herramienta de contención de riesgos. Su objetivo no es predecir el centavo exacto que se perderá en 2035, sino establecer los límites matemáticos dentro de los cuales la operación de un Data Center de IA deja de ser financieramente viable frente a la alternativa de </w:t>
      </w:r>
      <w:proofErr w:type="spellStart"/>
      <w:r w:rsidRPr="0012034D">
        <w:rPr>
          <w:rFonts w:ascii="Times New Roman" w:eastAsia="Times New Roman" w:hAnsi="Times New Roman" w:cs="Times New Roman"/>
          <w:sz w:val="24"/>
          <w:szCs w:val="24"/>
          <w:lang w:eastAsia="es-MX"/>
        </w:rPr>
        <w:t>Colocation</w:t>
      </w:r>
      <w:proofErr w:type="spellEnd"/>
      <w:r w:rsidRPr="0012034D">
        <w:rPr>
          <w:rFonts w:ascii="Times New Roman" w:eastAsia="Times New Roman" w:hAnsi="Times New Roman" w:cs="Times New Roman"/>
          <w:sz w:val="24"/>
          <w:szCs w:val="24"/>
          <w:lang w:eastAsia="es-MX"/>
        </w:rPr>
        <w:t>.</w:t>
      </w:r>
    </w:p>
    <w:p w:rsidR="0012034D" w:rsidRPr="0012034D" w:rsidRDefault="0012034D" w:rsidP="0012034D">
      <w:pPr>
        <w:spacing w:before="100" w:beforeAutospacing="1" w:after="100" w:afterAutospacing="1" w:line="240" w:lineRule="auto"/>
        <w:jc w:val="both"/>
        <w:rPr>
          <w:rFonts w:ascii="Times New Roman" w:eastAsia="Times New Roman" w:hAnsi="Times New Roman" w:cs="Times New Roman"/>
          <w:sz w:val="24"/>
          <w:szCs w:val="24"/>
          <w:lang w:eastAsia="es-MX"/>
        </w:rPr>
      </w:pPr>
      <w:r w:rsidRPr="0012034D">
        <w:rPr>
          <w:rFonts w:ascii="Times New Roman" w:eastAsia="Times New Roman" w:hAnsi="Times New Roman" w:cs="Times New Roman"/>
          <w:b/>
          <w:bCs/>
          <w:sz w:val="24"/>
          <w:szCs w:val="24"/>
          <w:lang w:eastAsia="es-MX"/>
        </w:rPr>
        <w:t xml:space="preserve">2. Origen de los Datos (Single </w:t>
      </w:r>
      <w:proofErr w:type="spellStart"/>
      <w:r w:rsidRPr="0012034D">
        <w:rPr>
          <w:rFonts w:ascii="Times New Roman" w:eastAsia="Times New Roman" w:hAnsi="Times New Roman" w:cs="Times New Roman"/>
          <w:b/>
          <w:bCs/>
          <w:sz w:val="24"/>
          <w:szCs w:val="24"/>
          <w:lang w:eastAsia="es-MX"/>
        </w:rPr>
        <w:t>Source</w:t>
      </w:r>
      <w:proofErr w:type="spellEnd"/>
      <w:r w:rsidRPr="0012034D">
        <w:rPr>
          <w:rFonts w:ascii="Times New Roman" w:eastAsia="Times New Roman" w:hAnsi="Times New Roman" w:cs="Times New Roman"/>
          <w:b/>
          <w:bCs/>
          <w:sz w:val="24"/>
          <w:szCs w:val="24"/>
          <w:lang w:eastAsia="es-MX"/>
        </w:rPr>
        <w:t xml:space="preserve"> of </w:t>
      </w:r>
      <w:proofErr w:type="spellStart"/>
      <w:r w:rsidRPr="0012034D">
        <w:rPr>
          <w:rFonts w:ascii="Times New Roman" w:eastAsia="Times New Roman" w:hAnsi="Times New Roman" w:cs="Times New Roman"/>
          <w:b/>
          <w:bCs/>
          <w:sz w:val="24"/>
          <w:szCs w:val="24"/>
          <w:lang w:eastAsia="es-MX"/>
        </w:rPr>
        <w:t>Truth</w:t>
      </w:r>
      <w:proofErr w:type="spellEnd"/>
      <w:r w:rsidRPr="0012034D">
        <w:rPr>
          <w:rFonts w:ascii="Times New Roman" w:eastAsia="Times New Roman" w:hAnsi="Times New Roman" w:cs="Times New Roman"/>
          <w:b/>
          <w:bCs/>
          <w:sz w:val="24"/>
          <w:szCs w:val="24"/>
          <w:lang w:eastAsia="es-MX"/>
        </w:rPr>
        <w:t>)</w:t>
      </w:r>
      <w:r w:rsidRPr="0012034D">
        <w:rPr>
          <w:rFonts w:ascii="Times New Roman" w:eastAsia="Times New Roman" w:hAnsi="Times New Roman" w:cs="Times New Roman"/>
          <w:sz w:val="24"/>
          <w:szCs w:val="24"/>
          <w:lang w:eastAsia="es-MX"/>
        </w:rPr>
        <w:t xml:space="preserve"> Todos los cálculos presentados dependen de las siguientes métricas base de la industria, las cuales están codificadas en nuestro </w:t>
      </w:r>
      <w:proofErr w:type="spellStart"/>
      <w:r w:rsidRPr="0012034D">
        <w:rPr>
          <w:rFonts w:ascii="Times New Roman" w:eastAsia="Times New Roman" w:hAnsi="Times New Roman" w:cs="Times New Roman"/>
          <w:sz w:val="24"/>
          <w:szCs w:val="24"/>
          <w:lang w:eastAsia="es-MX"/>
        </w:rPr>
        <w:t>dataset</w:t>
      </w:r>
      <w:proofErr w:type="spellEnd"/>
      <w:r w:rsidRPr="0012034D">
        <w:rPr>
          <w:rFonts w:ascii="Times New Roman" w:eastAsia="Times New Roman" w:hAnsi="Times New Roman" w:cs="Times New Roman"/>
          <w:sz w:val="24"/>
          <w:szCs w:val="24"/>
          <w:lang w:eastAsia="es-MX"/>
        </w:rPr>
        <w:t xml:space="preserve"> público:</w:t>
      </w:r>
    </w:p>
    <w:p w:rsidR="0012034D" w:rsidRPr="0012034D" w:rsidRDefault="0012034D" w:rsidP="0012034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12034D">
        <w:rPr>
          <w:rFonts w:ascii="Times New Roman" w:eastAsia="Times New Roman" w:hAnsi="Times New Roman" w:cs="Times New Roman"/>
          <w:b/>
          <w:bCs/>
          <w:sz w:val="24"/>
          <w:szCs w:val="24"/>
          <w:lang w:eastAsia="es-MX"/>
        </w:rPr>
        <w:t>Sobre-provisión Estructural (13%):</w:t>
      </w:r>
      <w:r w:rsidRPr="0012034D">
        <w:rPr>
          <w:rFonts w:ascii="Times New Roman" w:eastAsia="Times New Roman" w:hAnsi="Times New Roman" w:cs="Times New Roman"/>
          <w:sz w:val="24"/>
          <w:szCs w:val="24"/>
          <w:lang w:eastAsia="es-MX"/>
        </w:rPr>
        <w:t xml:space="preserve"> Asumimos que los picos de carga obligan a mantener hardware ocioso. Este techo del 13% es extraído de las trazas de utilización de </w:t>
      </w:r>
      <w:r w:rsidRPr="0012034D">
        <w:rPr>
          <w:rFonts w:ascii="Times New Roman" w:eastAsia="Times New Roman" w:hAnsi="Times New Roman" w:cs="Times New Roman"/>
          <w:i/>
          <w:iCs/>
          <w:sz w:val="24"/>
          <w:szCs w:val="24"/>
          <w:lang w:eastAsia="es-MX"/>
        </w:rPr>
        <w:t>Microsoft GFS</w:t>
      </w:r>
      <w:r w:rsidRPr="0012034D">
        <w:rPr>
          <w:rFonts w:ascii="Times New Roman" w:eastAsia="Times New Roman" w:hAnsi="Times New Roman" w:cs="Times New Roman"/>
          <w:sz w:val="24"/>
          <w:szCs w:val="24"/>
          <w:lang w:eastAsia="es-MX"/>
        </w:rPr>
        <w:t>.</w:t>
      </w:r>
    </w:p>
    <w:p w:rsidR="0012034D" w:rsidRPr="0012034D" w:rsidRDefault="0012034D" w:rsidP="0012034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12034D">
        <w:rPr>
          <w:rFonts w:ascii="Times New Roman" w:eastAsia="Times New Roman" w:hAnsi="Times New Roman" w:cs="Times New Roman"/>
          <w:b/>
          <w:bCs/>
          <w:sz w:val="24"/>
          <w:szCs w:val="24"/>
          <w:lang w:eastAsia="es-MX"/>
        </w:rPr>
        <w:t>Eficiencia Térmica (16% y 71°C):</w:t>
      </w:r>
      <w:r w:rsidRPr="0012034D">
        <w:rPr>
          <w:rFonts w:ascii="Times New Roman" w:eastAsia="Times New Roman" w:hAnsi="Times New Roman" w:cs="Times New Roman"/>
          <w:sz w:val="24"/>
          <w:szCs w:val="24"/>
          <w:lang w:eastAsia="es-MX"/>
        </w:rPr>
        <w:t xml:space="preserve"> El ahorro energético del 16% a nivel nodo y el límite térmico de 71°C para </w:t>
      </w:r>
      <w:proofErr w:type="spellStart"/>
      <w:r w:rsidRPr="0012034D">
        <w:rPr>
          <w:rFonts w:ascii="Times New Roman" w:eastAsia="Times New Roman" w:hAnsi="Times New Roman" w:cs="Times New Roman"/>
          <w:i/>
          <w:iCs/>
          <w:sz w:val="24"/>
          <w:szCs w:val="24"/>
          <w:lang w:eastAsia="es-MX"/>
        </w:rPr>
        <w:t>throttling</w:t>
      </w:r>
      <w:proofErr w:type="spellEnd"/>
      <w:r w:rsidRPr="0012034D">
        <w:rPr>
          <w:rFonts w:ascii="Times New Roman" w:eastAsia="Times New Roman" w:hAnsi="Times New Roman" w:cs="Times New Roman"/>
          <w:sz w:val="24"/>
          <w:szCs w:val="24"/>
          <w:lang w:eastAsia="es-MX"/>
        </w:rPr>
        <w:t xml:space="preserve"> provienen de las pruebas empíricas publicadas por </w:t>
      </w:r>
      <w:proofErr w:type="spellStart"/>
      <w:r w:rsidRPr="0012034D">
        <w:rPr>
          <w:rFonts w:ascii="Times New Roman" w:eastAsia="Times New Roman" w:hAnsi="Times New Roman" w:cs="Times New Roman"/>
          <w:i/>
          <w:iCs/>
          <w:sz w:val="24"/>
          <w:szCs w:val="24"/>
          <w:lang w:eastAsia="es-MX"/>
        </w:rPr>
        <w:t>Supermicro</w:t>
      </w:r>
      <w:proofErr w:type="spellEnd"/>
      <w:r w:rsidRPr="0012034D">
        <w:rPr>
          <w:rFonts w:ascii="Times New Roman" w:eastAsia="Times New Roman" w:hAnsi="Times New Roman" w:cs="Times New Roman"/>
          <w:sz w:val="24"/>
          <w:szCs w:val="24"/>
          <w:lang w:eastAsia="es-MX"/>
        </w:rPr>
        <w:t xml:space="preserve"> en sus arquitecturas de refrigeración líquida vs. aire.</w:t>
      </w:r>
    </w:p>
    <w:p w:rsidR="0012034D" w:rsidRPr="0012034D" w:rsidRDefault="0012034D" w:rsidP="0012034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12034D">
        <w:rPr>
          <w:rFonts w:ascii="Times New Roman" w:eastAsia="Times New Roman" w:hAnsi="Times New Roman" w:cs="Times New Roman"/>
          <w:b/>
          <w:bCs/>
          <w:sz w:val="24"/>
          <w:szCs w:val="24"/>
          <w:lang w:eastAsia="es-MX"/>
        </w:rPr>
        <w:t>Volatilidad de Tarifa Eléctrica:</w:t>
      </w:r>
      <w:r w:rsidRPr="0012034D">
        <w:rPr>
          <w:rFonts w:ascii="Times New Roman" w:eastAsia="Times New Roman" w:hAnsi="Times New Roman" w:cs="Times New Roman"/>
          <w:sz w:val="24"/>
          <w:szCs w:val="24"/>
          <w:lang w:eastAsia="es-MX"/>
        </w:rPr>
        <w:t xml:space="preserve"> El modelo utiliza los extremos geográficos de </w:t>
      </w:r>
      <w:proofErr w:type="spellStart"/>
      <w:r w:rsidRPr="0012034D">
        <w:rPr>
          <w:rFonts w:ascii="Times New Roman" w:eastAsia="Times New Roman" w:hAnsi="Times New Roman" w:cs="Times New Roman"/>
          <w:i/>
          <w:iCs/>
          <w:sz w:val="24"/>
          <w:szCs w:val="24"/>
          <w:lang w:eastAsia="es-MX"/>
        </w:rPr>
        <w:t>Nlyte</w:t>
      </w:r>
      <w:proofErr w:type="spellEnd"/>
      <w:r w:rsidRPr="0012034D">
        <w:rPr>
          <w:rFonts w:ascii="Times New Roman" w:eastAsia="Times New Roman" w:hAnsi="Times New Roman" w:cs="Times New Roman"/>
          <w:sz w:val="24"/>
          <w:szCs w:val="24"/>
          <w:lang w:eastAsia="es-MX"/>
        </w:rPr>
        <w:t>, asumiendo que un mismo rack puede costar desde $51,116 USD anuales (escenario óptimo) hasta $207,934 USD (escenario pesimista).</w:t>
      </w:r>
    </w:p>
    <w:p w:rsidR="0012034D" w:rsidRPr="0012034D" w:rsidRDefault="0012034D" w:rsidP="0012034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12034D">
        <w:rPr>
          <w:rFonts w:ascii="Times New Roman" w:eastAsia="Times New Roman" w:hAnsi="Times New Roman" w:cs="Times New Roman"/>
          <w:b/>
          <w:bCs/>
          <w:sz w:val="24"/>
          <w:szCs w:val="24"/>
          <w:lang w:eastAsia="es-MX"/>
        </w:rPr>
        <w:t>Techo de Mercado (</w:t>
      </w:r>
      <w:proofErr w:type="spellStart"/>
      <w:r w:rsidRPr="0012034D">
        <w:rPr>
          <w:rFonts w:ascii="Times New Roman" w:eastAsia="Times New Roman" w:hAnsi="Times New Roman" w:cs="Times New Roman"/>
          <w:b/>
          <w:bCs/>
          <w:sz w:val="24"/>
          <w:szCs w:val="24"/>
          <w:lang w:eastAsia="es-MX"/>
        </w:rPr>
        <w:t>Colocation</w:t>
      </w:r>
      <w:proofErr w:type="spellEnd"/>
      <w:r w:rsidRPr="0012034D">
        <w:rPr>
          <w:rFonts w:ascii="Times New Roman" w:eastAsia="Times New Roman" w:hAnsi="Times New Roman" w:cs="Times New Roman"/>
          <w:b/>
          <w:bCs/>
          <w:sz w:val="24"/>
          <w:szCs w:val="24"/>
          <w:lang w:eastAsia="es-MX"/>
        </w:rPr>
        <w:t>):</w:t>
      </w:r>
      <w:r w:rsidRPr="0012034D">
        <w:rPr>
          <w:rFonts w:ascii="Times New Roman" w:eastAsia="Times New Roman" w:hAnsi="Times New Roman" w:cs="Times New Roman"/>
          <w:sz w:val="24"/>
          <w:szCs w:val="24"/>
          <w:lang w:eastAsia="es-MX"/>
        </w:rPr>
        <w:t xml:space="preserve"> Fijamos el costo de oportunidad estricto en $184/kW/mes.</w:t>
      </w:r>
    </w:p>
    <w:p w:rsidR="0012034D" w:rsidRPr="0012034D" w:rsidRDefault="0012034D" w:rsidP="0012034D">
      <w:pPr>
        <w:spacing w:before="100" w:beforeAutospacing="1" w:after="100" w:afterAutospacing="1" w:line="240" w:lineRule="auto"/>
        <w:jc w:val="both"/>
        <w:rPr>
          <w:rFonts w:ascii="Times New Roman" w:eastAsia="Times New Roman" w:hAnsi="Times New Roman" w:cs="Times New Roman"/>
          <w:sz w:val="24"/>
          <w:szCs w:val="24"/>
          <w:lang w:eastAsia="es-MX"/>
        </w:rPr>
      </w:pPr>
      <w:r w:rsidRPr="0012034D">
        <w:rPr>
          <w:rFonts w:ascii="Times New Roman" w:eastAsia="Times New Roman" w:hAnsi="Times New Roman" w:cs="Times New Roman"/>
          <w:b/>
          <w:bCs/>
          <w:sz w:val="24"/>
          <w:szCs w:val="24"/>
          <w:lang w:eastAsia="es-MX"/>
        </w:rPr>
        <w:t>3. Limitaciones Reconocidas (Lo que el modelo excluye explícitamente)</w:t>
      </w:r>
      <w:r w:rsidRPr="0012034D">
        <w:rPr>
          <w:rFonts w:ascii="Times New Roman" w:eastAsia="Times New Roman" w:hAnsi="Times New Roman" w:cs="Times New Roman"/>
          <w:sz w:val="24"/>
          <w:szCs w:val="24"/>
          <w:lang w:eastAsia="es-MX"/>
        </w:rPr>
        <w:t xml:space="preserve"> Para mantener la integridad auditable, declaramos que este simulador asume condiciones estáticas en áreas que, en la realidad, son dinámicas:</w:t>
      </w:r>
    </w:p>
    <w:p w:rsidR="0012034D" w:rsidRPr="0012034D" w:rsidRDefault="0012034D" w:rsidP="0012034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12034D">
        <w:rPr>
          <w:rFonts w:ascii="Times New Roman" w:eastAsia="Times New Roman" w:hAnsi="Times New Roman" w:cs="Times New Roman"/>
          <w:b/>
          <w:bCs/>
          <w:sz w:val="24"/>
          <w:szCs w:val="24"/>
          <w:lang w:eastAsia="es-MX"/>
        </w:rPr>
        <w:t>Exclusión de Inflación y Fluctuación Energética:</w:t>
      </w:r>
      <w:r w:rsidRPr="0012034D">
        <w:rPr>
          <w:rFonts w:ascii="Times New Roman" w:eastAsia="Times New Roman" w:hAnsi="Times New Roman" w:cs="Times New Roman"/>
          <w:sz w:val="24"/>
          <w:szCs w:val="24"/>
          <w:lang w:eastAsia="es-MX"/>
        </w:rPr>
        <w:t xml:space="preserve"> El TCO a 10 años asume una tarifa eléctrica promediada y congelada. No modela crisis energéticas geopolíticas ni aumentos dinámicos por inflación anual.</w:t>
      </w:r>
    </w:p>
    <w:p w:rsidR="0012034D" w:rsidRPr="0012034D" w:rsidRDefault="0012034D" w:rsidP="0012034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12034D">
        <w:rPr>
          <w:rFonts w:ascii="Times New Roman" w:eastAsia="Times New Roman" w:hAnsi="Times New Roman" w:cs="Times New Roman"/>
          <w:b/>
          <w:bCs/>
          <w:sz w:val="24"/>
          <w:szCs w:val="24"/>
          <w:lang w:eastAsia="es-MX"/>
        </w:rPr>
        <w:t>PUE Lineal:</w:t>
      </w:r>
      <w:r w:rsidRPr="0012034D">
        <w:rPr>
          <w:rFonts w:ascii="Times New Roman" w:eastAsia="Times New Roman" w:hAnsi="Times New Roman" w:cs="Times New Roman"/>
          <w:sz w:val="24"/>
          <w:szCs w:val="24"/>
          <w:lang w:eastAsia="es-MX"/>
        </w:rPr>
        <w:t xml:space="preserve"> El modelo asume que el PUE (</w:t>
      </w:r>
      <w:proofErr w:type="spellStart"/>
      <w:r w:rsidRPr="0012034D">
        <w:rPr>
          <w:rFonts w:ascii="Times New Roman" w:eastAsia="Times New Roman" w:hAnsi="Times New Roman" w:cs="Times New Roman"/>
          <w:sz w:val="24"/>
          <w:szCs w:val="24"/>
          <w:lang w:eastAsia="es-MX"/>
        </w:rPr>
        <w:t>Power</w:t>
      </w:r>
      <w:proofErr w:type="spellEnd"/>
      <w:r w:rsidRPr="0012034D">
        <w:rPr>
          <w:rFonts w:ascii="Times New Roman" w:eastAsia="Times New Roman" w:hAnsi="Times New Roman" w:cs="Times New Roman"/>
          <w:sz w:val="24"/>
          <w:szCs w:val="24"/>
          <w:lang w:eastAsia="es-MX"/>
        </w:rPr>
        <w:t xml:space="preserve"> </w:t>
      </w:r>
      <w:proofErr w:type="spellStart"/>
      <w:r w:rsidRPr="0012034D">
        <w:rPr>
          <w:rFonts w:ascii="Times New Roman" w:eastAsia="Times New Roman" w:hAnsi="Times New Roman" w:cs="Times New Roman"/>
          <w:sz w:val="24"/>
          <w:szCs w:val="24"/>
          <w:lang w:eastAsia="es-MX"/>
        </w:rPr>
        <w:t>Usage</w:t>
      </w:r>
      <w:proofErr w:type="spellEnd"/>
      <w:r w:rsidRPr="0012034D">
        <w:rPr>
          <w:rFonts w:ascii="Times New Roman" w:eastAsia="Times New Roman" w:hAnsi="Times New Roman" w:cs="Times New Roman"/>
          <w:sz w:val="24"/>
          <w:szCs w:val="24"/>
          <w:lang w:eastAsia="es-MX"/>
        </w:rPr>
        <w:t xml:space="preserve"> </w:t>
      </w:r>
      <w:proofErr w:type="spellStart"/>
      <w:r w:rsidRPr="0012034D">
        <w:rPr>
          <w:rFonts w:ascii="Times New Roman" w:eastAsia="Times New Roman" w:hAnsi="Times New Roman" w:cs="Times New Roman"/>
          <w:sz w:val="24"/>
          <w:szCs w:val="24"/>
          <w:lang w:eastAsia="es-MX"/>
        </w:rPr>
        <w:t>Effectiveness</w:t>
      </w:r>
      <w:proofErr w:type="spellEnd"/>
      <w:r w:rsidRPr="0012034D">
        <w:rPr>
          <w:rFonts w:ascii="Times New Roman" w:eastAsia="Times New Roman" w:hAnsi="Times New Roman" w:cs="Times New Roman"/>
          <w:sz w:val="24"/>
          <w:szCs w:val="24"/>
          <w:lang w:eastAsia="es-MX"/>
        </w:rPr>
        <w:t>) se mantiene constante todo el año. En la realidad operativa, el PUE fluctúa según la estación del año (verano vs. invierno), especialmente en configuraciones enfriadas por aire.</w:t>
      </w:r>
    </w:p>
    <w:p w:rsidR="0012034D" w:rsidRPr="0012034D" w:rsidRDefault="0012034D" w:rsidP="0012034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MX"/>
        </w:rPr>
      </w:pPr>
      <w:r w:rsidRPr="0012034D">
        <w:rPr>
          <w:rFonts w:ascii="Times New Roman" w:eastAsia="Times New Roman" w:hAnsi="Times New Roman" w:cs="Times New Roman"/>
          <w:b/>
          <w:bCs/>
          <w:sz w:val="24"/>
          <w:szCs w:val="24"/>
          <w:lang w:eastAsia="es-MX"/>
        </w:rPr>
        <w:t>Ciclo de Vida de Hardware Homogéneo:</w:t>
      </w:r>
      <w:r w:rsidRPr="0012034D">
        <w:rPr>
          <w:rFonts w:ascii="Times New Roman" w:eastAsia="Times New Roman" w:hAnsi="Times New Roman" w:cs="Times New Roman"/>
          <w:sz w:val="24"/>
          <w:szCs w:val="24"/>
          <w:lang w:eastAsia="es-MX"/>
        </w:rPr>
        <w:t xml:space="preserve"> Asumimos una amortización plana de 3 a 6 años. No contempla la depreciación acelerada que podría causar la rápida obsolescencia de las </w:t>
      </w:r>
      <w:proofErr w:type="spellStart"/>
      <w:r w:rsidRPr="0012034D">
        <w:rPr>
          <w:rFonts w:ascii="Times New Roman" w:eastAsia="Times New Roman" w:hAnsi="Times New Roman" w:cs="Times New Roman"/>
          <w:sz w:val="24"/>
          <w:szCs w:val="24"/>
          <w:lang w:eastAsia="es-MX"/>
        </w:rPr>
        <w:t>GPUs</w:t>
      </w:r>
      <w:proofErr w:type="spellEnd"/>
      <w:r w:rsidRPr="0012034D">
        <w:rPr>
          <w:rFonts w:ascii="Times New Roman" w:eastAsia="Times New Roman" w:hAnsi="Times New Roman" w:cs="Times New Roman"/>
          <w:sz w:val="24"/>
          <w:szCs w:val="24"/>
          <w:lang w:eastAsia="es-MX"/>
        </w:rPr>
        <w:t xml:space="preserve"> de nueva generación.</w:t>
      </w:r>
    </w:p>
    <w:p w:rsidR="0012034D" w:rsidRPr="0012034D" w:rsidRDefault="0012034D" w:rsidP="0012034D">
      <w:pPr>
        <w:spacing w:before="100" w:beforeAutospacing="1" w:after="100" w:afterAutospacing="1" w:line="240" w:lineRule="auto"/>
        <w:jc w:val="both"/>
        <w:rPr>
          <w:rFonts w:ascii="Times New Roman" w:eastAsia="Times New Roman" w:hAnsi="Times New Roman" w:cs="Times New Roman"/>
          <w:sz w:val="24"/>
          <w:szCs w:val="24"/>
          <w:lang w:eastAsia="es-MX"/>
        </w:rPr>
      </w:pPr>
      <w:r w:rsidRPr="0012034D">
        <w:rPr>
          <w:rFonts w:ascii="Times New Roman" w:eastAsia="Times New Roman" w:hAnsi="Times New Roman" w:cs="Times New Roman"/>
          <w:b/>
          <w:bCs/>
          <w:sz w:val="24"/>
          <w:szCs w:val="24"/>
          <w:lang w:eastAsia="es-MX"/>
        </w:rPr>
        <w:t>4. Justificación del Uso de Rangos</w:t>
      </w:r>
      <w:r w:rsidRPr="0012034D">
        <w:rPr>
          <w:rFonts w:ascii="Times New Roman" w:eastAsia="Times New Roman" w:hAnsi="Times New Roman" w:cs="Times New Roman"/>
          <w:sz w:val="24"/>
          <w:szCs w:val="24"/>
          <w:lang w:eastAsia="es-MX"/>
        </w:rPr>
        <w:t xml:space="preserve"> Debido a las limitaciones mencionadas, el modelo tiene prohibido emitir valores absolutos. Todo resultado financiero se entrega con un límite inferior y superior. Presentar un número </w:t>
      </w:r>
      <w:r w:rsidRPr="0012034D">
        <w:rPr>
          <w:rFonts w:ascii="Times New Roman" w:eastAsia="Times New Roman" w:hAnsi="Times New Roman" w:cs="Times New Roman"/>
          <w:sz w:val="24"/>
          <w:szCs w:val="24"/>
          <w:lang w:eastAsia="es-MX"/>
        </w:rPr>
        <w:lastRenderedPageBreak/>
        <w:t>estático único constituiría una "falsa precisión" y una mala práctica analítica en la planificación de infraestructura crítica.</w:t>
      </w:r>
    </w:p>
    <w:p w:rsidR="0012034D" w:rsidRPr="0012034D" w:rsidRDefault="0012034D" w:rsidP="0012034D">
      <w:pPr>
        <w:spacing w:before="100" w:beforeAutospacing="1" w:after="100" w:afterAutospacing="1" w:line="240" w:lineRule="auto"/>
        <w:jc w:val="both"/>
        <w:rPr>
          <w:rFonts w:ascii="Times New Roman" w:eastAsia="Times New Roman" w:hAnsi="Times New Roman" w:cs="Times New Roman"/>
          <w:sz w:val="24"/>
          <w:szCs w:val="24"/>
          <w:lang w:eastAsia="es-MX"/>
        </w:rPr>
      </w:pPr>
      <w:r w:rsidRPr="0012034D">
        <w:rPr>
          <w:rFonts w:ascii="Times New Roman" w:eastAsia="Times New Roman" w:hAnsi="Times New Roman" w:cs="Times New Roman"/>
          <w:sz w:val="24"/>
          <w:szCs w:val="24"/>
          <w:lang w:eastAsia="es-MX"/>
        </w:rPr>
        <w:t>Para facilitarte la vida en esta simulación, he generado este texto en un documento de Word con formato profesional, listo para que lo integres a tus entregables.</w:t>
      </w:r>
    </w:p>
    <w:p w:rsidR="0012034D" w:rsidRPr="0012034D" w:rsidRDefault="0012034D" w:rsidP="0012034D">
      <w:pPr>
        <w:spacing w:after="0" w:line="240" w:lineRule="auto"/>
        <w:jc w:val="both"/>
        <w:rPr>
          <w:rFonts w:ascii="Times New Roman" w:eastAsia="Times New Roman" w:hAnsi="Times New Roman" w:cs="Times New Roman"/>
          <w:vanish/>
          <w:sz w:val="24"/>
          <w:szCs w:val="24"/>
          <w:lang w:eastAsia="es-MX"/>
        </w:rPr>
      </w:pPr>
      <w:r w:rsidRPr="0012034D">
        <w:rPr>
          <w:rFonts w:ascii="Times New Roman" w:eastAsia="Times New Roman" w:hAnsi="Times New Roman" w:cs="Times New Roman"/>
          <w:vanish/>
          <w:sz w:val="24"/>
          <w:szCs w:val="24"/>
          <w:lang w:eastAsia="es-MX"/>
        </w:rPr>
        <w:t>Python</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from docx import Document</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from docx.shared import Pt</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from docx.enum.text import WD_ALIGN_PARAGRAPH</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doc = Document()</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 Título</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title = doc.add_heading('Entregable 5: Documento de Supuestos Públicos y Transparencia', level=0)</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title.alignment = WD_ALIGN_PARAGRAPH.CENTER</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 Sección 1</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doc.add_heading('1. Declaración de Honestidad del Modelo', level=1)</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doc.add_paragraph('Este modelo de estimación de Stranded Capacity ha sido diseñado bajo un enfoque determinístico de Floor &amp; Ceiling (Suelo y Techo). No es una bola de cristal financiera, sino una herramienta de contención de riesgos. Su objetivo no es predecir el centavo exacto que se perderá en 2035, sino establecer los límites matemáticos dentro de los cuales la operación de un Data Center de IA deja de ser financieramente viable frente a la alternativa de Colocation.')</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 Sección 2</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doc.add_heading('2. Origen de los Datos (Single Source of Truth)', level=1)</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doc.add_paragraph('Todos los cálculos presentados dependen de las siguientes métricas base de la industria:')</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p1 = doc.add_paragraph(style='List Bullet')</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p1.add_run('Sobre-provisión Estructural (13%): ').bold = True</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p1.add_run('Asumimos que los picos de carga obligan a mantener hardware ocioso. Este techo es extraído de las trazas de utilización de Microsoft GFS.')</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p2 = doc.add_paragraph(style='List Bullet')</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p2.add_run('Eficiencia Térmica (16% y 71°C): ').bold = True</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p2.add_run('El ahorro energético del 16% a nivel nodo y el límite térmico de 71°C provienen de las pruebas empíricas publicadas por Supermicro en arquitecturas líquidas vs. aire.')</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p3 = doc.add_paragraph(style='List Bullet')</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p3.add_run('Volatilidad de Tarifa Eléctrica: ').bold = True</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p3.add_run('El modelo utiliza los extremos geográficos de Nlyte, asumiendo que un mismo rack puede costar desde $51,116 USD hasta $207,934 USD anuales.')</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p4 = doc.add_paragraph(style='List Bullet')</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p4.add_run('Techo de Mercado (Colocation): ').bold = True</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p4.add_run('Fijamos el costo de oportunidad estricto en $184/kW/mes.')</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 Sección 3</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doc.add_heading('3. Limitaciones Reconocidas (Lo que el modelo excluye)', level=1)</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doc.add_paragraph('Para mantener la integridad auditable, declaramos que este simulador asume condiciones estáticas en áreas que son dinámicas:')</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p5 = doc.add_paragraph(style='List Bullet')</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p5.add_run('Exclusión de Inflación y Fluctuación Energética: ').bold = True</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p5.add_run('El TCO asume una tarifa eléctrica promediada. No modela crisis energéticas ni aumentos dinámicos por inflación macroeconómica.')</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p6 = doc.add_paragraph(style='List Bullet')</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p6.add_run('PUE Lineal: ').bold = True</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p6.add_run('El modelo asume un PUE constante, ignorando las fluctuaciones estacionales (verano vs. invierno).')</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p7 = doc.add_paragraph(style='List Bullet')</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p7.add_run('Ciclo de Vida de Hardware Homogéneo: ').bold = True</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p7.add_run('Asumimos una amortización plana, sin contemplar depreciación acelerada por obsolescencia de GPUs.')</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 Sección 4</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doc.add_heading('4. Justificación del Uso de Rangos', level=1)</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doc.add_paragraph('Debido a las limitaciones mencionadas, el modelo tiene prohibido emitir valores absolutos. Todo resultado financiero se entrega con un límite inferior y superior. Presentar un número estático único constituiría una "falsa precisión" y una mala práctica analítica.')</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 Guardar</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file_path = 'Entregable_5_Supuestos_Publicos.docx'</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doc.save(file_path)</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print(f"File generated: {file_path}")</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p>
    <w:p w:rsidR="0012034D" w:rsidRPr="0012034D" w:rsidRDefault="0012034D" w:rsidP="0012034D">
      <w:pPr>
        <w:spacing w:after="0" w:line="240" w:lineRule="auto"/>
        <w:jc w:val="both"/>
        <w:rPr>
          <w:rFonts w:ascii="Times New Roman" w:eastAsia="Times New Roman" w:hAnsi="Times New Roman" w:cs="Times New Roman"/>
          <w:vanish/>
          <w:sz w:val="24"/>
          <w:szCs w:val="24"/>
          <w:lang w:eastAsia="es-MX"/>
        </w:rPr>
      </w:pPr>
      <w:r w:rsidRPr="0012034D">
        <w:rPr>
          <w:rFonts w:ascii="Times New Roman" w:eastAsia="Times New Roman" w:hAnsi="Times New Roman" w:cs="Times New Roman"/>
          <w:vanish/>
          <w:sz w:val="24"/>
          <w:szCs w:val="24"/>
          <w:lang w:eastAsia="es-MX"/>
        </w:rPr>
        <w:t>Salida de código</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r w:rsidRPr="0012034D">
        <w:rPr>
          <w:rFonts w:ascii="Courier New" w:eastAsia="Times New Roman" w:hAnsi="Courier New" w:cs="Courier New"/>
          <w:vanish/>
          <w:sz w:val="20"/>
          <w:szCs w:val="20"/>
          <w:lang w:eastAsia="es-MX"/>
        </w:rPr>
        <w:t>File generated: Entregable_5_Supuestos_Publicos.docx</w:t>
      </w:r>
    </w:p>
    <w:p w:rsidR="0012034D" w:rsidRPr="0012034D" w:rsidRDefault="0012034D" w:rsidP="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vanish/>
          <w:sz w:val="20"/>
          <w:szCs w:val="20"/>
          <w:lang w:eastAsia="es-MX"/>
        </w:rPr>
      </w:pPr>
    </w:p>
    <w:p w:rsidR="0012034D" w:rsidRPr="0012034D" w:rsidRDefault="0012034D" w:rsidP="0012034D">
      <w:pPr>
        <w:spacing w:before="100" w:beforeAutospacing="1" w:after="100" w:afterAutospacing="1" w:line="240" w:lineRule="auto"/>
        <w:jc w:val="both"/>
        <w:rPr>
          <w:rFonts w:ascii="Times New Roman" w:eastAsia="Times New Roman" w:hAnsi="Times New Roman" w:cs="Times New Roman"/>
          <w:sz w:val="24"/>
          <w:szCs w:val="24"/>
          <w:lang w:eastAsia="es-MX"/>
        </w:rPr>
      </w:pPr>
      <w:r w:rsidRPr="0012034D">
        <w:rPr>
          <w:rFonts w:ascii="Times New Roman" w:eastAsia="Times New Roman" w:hAnsi="Times New Roman" w:cs="Times New Roman"/>
          <w:sz w:val="24"/>
          <w:szCs w:val="24"/>
          <w:lang w:eastAsia="es-MX"/>
        </w:rPr>
        <w:t>Aquí tienes el archivo oficial en formato Word, listo para incluirse en tu portafolio.</w:t>
      </w:r>
    </w:p>
    <w:p w:rsidR="0012034D" w:rsidRPr="0012034D" w:rsidRDefault="0012034D" w:rsidP="0012034D">
      <w:pPr>
        <w:spacing w:after="0" w:line="240" w:lineRule="auto"/>
        <w:jc w:val="both"/>
        <w:rPr>
          <w:rFonts w:ascii="Times New Roman" w:eastAsia="Times New Roman" w:hAnsi="Times New Roman" w:cs="Times New Roman"/>
          <w:sz w:val="24"/>
          <w:szCs w:val="24"/>
          <w:lang w:eastAsia="es-MX"/>
        </w:rPr>
      </w:pPr>
      <w:r w:rsidRPr="0012034D">
        <w:rPr>
          <w:rFonts w:ascii="Times New Roman" w:eastAsia="Times New Roman" w:hAnsi="Times New Roman" w:cs="Times New Roman"/>
          <w:noProof/>
          <w:sz w:val="24"/>
          <w:szCs w:val="24"/>
          <w:lang w:eastAsia="es-MX"/>
        </w:rPr>
        <w:drawing>
          <wp:inline distT="0" distB="0" distL="0" distR="0">
            <wp:extent cx="304800" cy="304800"/>
            <wp:effectExtent l="0" t="0" r="0" b="0"/>
            <wp:docPr id="1" name="Imagen 1" descr="Icono de 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o de DOC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12034D" w:rsidRPr="0012034D" w:rsidRDefault="0012034D" w:rsidP="0012034D">
      <w:pPr>
        <w:spacing w:after="0" w:line="240" w:lineRule="auto"/>
        <w:jc w:val="both"/>
        <w:rPr>
          <w:rFonts w:ascii="Times New Roman" w:eastAsia="Times New Roman" w:hAnsi="Times New Roman" w:cs="Times New Roman"/>
          <w:sz w:val="24"/>
          <w:szCs w:val="24"/>
          <w:lang w:eastAsia="es-MX"/>
        </w:rPr>
      </w:pPr>
      <w:r w:rsidRPr="0012034D">
        <w:rPr>
          <w:rFonts w:ascii="Times New Roman" w:eastAsia="Times New Roman" w:hAnsi="Times New Roman" w:cs="Times New Roman"/>
          <w:sz w:val="24"/>
          <w:szCs w:val="24"/>
          <w:lang w:eastAsia="es-MX"/>
        </w:rPr>
        <w:t xml:space="preserve">Entregable_5_Supuestos_Publicos </w:t>
      </w:r>
    </w:p>
    <w:p w:rsidR="0012034D" w:rsidRPr="0012034D" w:rsidRDefault="0012034D" w:rsidP="0012034D">
      <w:pPr>
        <w:spacing w:after="0" w:line="240" w:lineRule="auto"/>
        <w:jc w:val="both"/>
        <w:rPr>
          <w:rFonts w:ascii="Times New Roman" w:eastAsia="Times New Roman" w:hAnsi="Times New Roman" w:cs="Times New Roman"/>
          <w:sz w:val="24"/>
          <w:szCs w:val="24"/>
          <w:lang w:eastAsia="es-MX"/>
        </w:rPr>
      </w:pPr>
      <w:r w:rsidRPr="0012034D">
        <w:rPr>
          <w:rFonts w:ascii="Times New Roman" w:eastAsia="Times New Roman" w:hAnsi="Times New Roman" w:cs="Times New Roman"/>
          <w:sz w:val="24"/>
          <w:szCs w:val="24"/>
          <w:lang w:eastAsia="es-MX"/>
        </w:rPr>
        <w:t xml:space="preserve">DOCX </w:t>
      </w:r>
    </w:p>
    <w:p w:rsidR="0012034D" w:rsidRPr="0012034D" w:rsidRDefault="0012034D" w:rsidP="0012034D">
      <w:pPr>
        <w:spacing w:after="0" w:line="240" w:lineRule="auto"/>
        <w:jc w:val="both"/>
        <w:rPr>
          <w:rFonts w:ascii="Times New Roman" w:eastAsia="Times New Roman" w:hAnsi="Times New Roman" w:cs="Times New Roman"/>
          <w:sz w:val="24"/>
          <w:szCs w:val="24"/>
          <w:lang w:eastAsia="es-MX"/>
        </w:rPr>
      </w:pPr>
      <w:r w:rsidRPr="0012034D">
        <w:rPr>
          <w:rFonts w:ascii="Times New Roman" w:eastAsia="Times New Roman" w:hAnsi="Times New Roman" w:cs="Times New Roman"/>
          <w:sz w:val="24"/>
          <w:szCs w:val="24"/>
          <w:lang w:eastAsia="es-MX"/>
        </w:rPr>
        <w:t>Abierto</w:t>
      </w:r>
    </w:p>
    <w:p w:rsidR="00487DB7" w:rsidRDefault="00487DB7"/>
    <w:sectPr w:rsidR="00487DB7" w:rsidSect="0012034D">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850B16"/>
    <w:multiLevelType w:val="multilevel"/>
    <w:tmpl w:val="0EF4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2B36B8"/>
    <w:multiLevelType w:val="multilevel"/>
    <w:tmpl w:val="FA20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34D"/>
    <w:rsid w:val="0012034D"/>
    <w:rsid w:val="00487DB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E68FBD-5717-4D8D-BA03-2A3D884A0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12034D"/>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34D"/>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1203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g-tns-c4279943784-73">
    <w:name w:val="ng-tns-c4279943784-73"/>
    <w:basedOn w:val="Fuentedeprrafopredeter"/>
    <w:rsid w:val="0012034D"/>
  </w:style>
  <w:style w:type="paragraph" w:styleId="HTMLconformatoprevio">
    <w:name w:val="HTML Preformatted"/>
    <w:basedOn w:val="Normal"/>
    <w:link w:val="HTMLconformatoprevioCar"/>
    <w:uiPriority w:val="99"/>
    <w:semiHidden/>
    <w:unhideWhenUsed/>
    <w:rsid w:val="0012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12034D"/>
    <w:rPr>
      <w:rFonts w:ascii="Courier New" w:eastAsia="Times New Roman" w:hAnsi="Courier New" w:cs="Courier New"/>
      <w:sz w:val="20"/>
      <w:szCs w:val="20"/>
      <w:lang w:eastAsia="es-MX"/>
    </w:rPr>
  </w:style>
  <w:style w:type="character" w:styleId="CdigoHTML">
    <w:name w:val="HTML Code"/>
    <w:basedOn w:val="Fuentedeprrafopredeter"/>
    <w:uiPriority w:val="99"/>
    <w:semiHidden/>
    <w:unhideWhenUsed/>
    <w:rsid w:val="0012034D"/>
    <w:rPr>
      <w:rFonts w:ascii="Courier New" w:eastAsia="Times New Roman" w:hAnsi="Courier New" w:cs="Courier New"/>
      <w:sz w:val="20"/>
      <w:szCs w:val="20"/>
    </w:rPr>
  </w:style>
  <w:style w:type="character" w:customStyle="1" w:styleId="hljs-keyword">
    <w:name w:val="hljs-keyword"/>
    <w:basedOn w:val="Fuentedeprrafopredeter"/>
    <w:rsid w:val="0012034D"/>
  </w:style>
  <w:style w:type="character" w:customStyle="1" w:styleId="hljs-comment">
    <w:name w:val="hljs-comment"/>
    <w:basedOn w:val="Fuentedeprrafopredeter"/>
    <w:rsid w:val="0012034D"/>
  </w:style>
  <w:style w:type="character" w:customStyle="1" w:styleId="hljs-string">
    <w:name w:val="hljs-string"/>
    <w:basedOn w:val="Fuentedeprrafopredeter"/>
    <w:rsid w:val="0012034D"/>
  </w:style>
  <w:style w:type="character" w:customStyle="1" w:styleId="hljs-number">
    <w:name w:val="hljs-number"/>
    <w:basedOn w:val="Fuentedeprrafopredeter"/>
    <w:rsid w:val="0012034D"/>
  </w:style>
  <w:style w:type="character" w:customStyle="1" w:styleId="hljs-literal">
    <w:name w:val="hljs-literal"/>
    <w:basedOn w:val="Fuentedeprrafopredeter"/>
    <w:rsid w:val="0012034D"/>
  </w:style>
  <w:style w:type="character" w:customStyle="1" w:styleId="hljs-subst">
    <w:name w:val="hljs-subst"/>
    <w:basedOn w:val="Fuentedeprrafopredeter"/>
    <w:rsid w:val="001203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0426313">
      <w:bodyDiv w:val="1"/>
      <w:marLeft w:val="0"/>
      <w:marRight w:val="0"/>
      <w:marTop w:val="0"/>
      <w:marBottom w:val="0"/>
      <w:divBdr>
        <w:top w:val="none" w:sz="0" w:space="0" w:color="auto"/>
        <w:left w:val="none" w:sz="0" w:space="0" w:color="auto"/>
        <w:bottom w:val="none" w:sz="0" w:space="0" w:color="auto"/>
        <w:right w:val="none" w:sz="0" w:space="0" w:color="auto"/>
      </w:divBdr>
      <w:divsChild>
        <w:div w:id="236596984">
          <w:marLeft w:val="0"/>
          <w:marRight w:val="0"/>
          <w:marTop w:val="0"/>
          <w:marBottom w:val="0"/>
          <w:divBdr>
            <w:top w:val="none" w:sz="0" w:space="0" w:color="auto"/>
            <w:left w:val="none" w:sz="0" w:space="0" w:color="auto"/>
            <w:bottom w:val="none" w:sz="0" w:space="0" w:color="auto"/>
            <w:right w:val="none" w:sz="0" w:space="0" w:color="auto"/>
          </w:divBdr>
          <w:divsChild>
            <w:div w:id="763114663">
              <w:marLeft w:val="0"/>
              <w:marRight w:val="0"/>
              <w:marTop w:val="0"/>
              <w:marBottom w:val="0"/>
              <w:divBdr>
                <w:top w:val="none" w:sz="0" w:space="0" w:color="auto"/>
                <w:left w:val="none" w:sz="0" w:space="0" w:color="auto"/>
                <w:bottom w:val="none" w:sz="0" w:space="0" w:color="auto"/>
                <w:right w:val="none" w:sz="0" w:space="0" w:color="auto"/>
              </w:divBdr>
              <w:divsChild>
                <w:div w:id="8415918">
                  <w:marLeft w:val="0"/>
                  <w:marRight w:val="0"/>
                  <w:marTop w:val="0"/>
                  <w:marBottom w:val="0"/>
                  <w:divBdr>
                    <w:top w:val="none" w:sz="0" w:space="0" w:color="auto"/>
                    <w:left w:val="none" w:sz="0" w:space="0" w:color="auto"/>
                    <w:bottom w:val="none" w:sz="0" w:space="0" w:color="auto"/>
                    <w:right w:val="none" w:sz="0" w:space="0" w:color="auto"/>
                  </w:divBdr>
                  <w:divsChild>
                    <w:div w:id="2066103594">
                      <w:marLeft w:val="0"/>
                      <w:marRight w:val="0"/>
                      <w:marTop w:val="0"/>
                      <w:marBottom w:val="0"/>
                      <w:divBdr>
                        <w:top w:val="none" w:sz="0" w:space="0" w:color="auto"/>
                        <w:left w:val="none" w:sz="0" w:space="0" w:color="auto"/>
                        <w:bottom w:val="none" w:sz="0" w:space="0" w:color="auto"/>
                        <w:right w:val="none" w:sz="0" w:space="0" w:color="auto"/>
                      </w:divBdr>
                      <w:divsChild>
                        <w:div w:id="2016572744">
                          <w:marLeft w:val="0"/>
                          <w:marRight w:val="0"/>
                          <w:marTop w:val="0"/>
                          <w:marBottom w:val="0"/>
                          <w:divBdr>
                            <w:top w:val="none" w:sz="0" w:space="0" w:color="auto"/>
                            <w:left w:val="none" w:sz="0" w:space="0" w:color="auto"/>
                            <w:bottom w:val="none" w:sz="0" w:space="0" w:color="auto"/>
                            <w:right w:val="none" w:sz="0" w:space="0" w:color="auto"/>
                          </w:divBdr>
                          <w:divsChild>
                            <w:div w:id="730424648">
                              <w:marLeft w:val="0"/>
                              <w:marRight w:val="0"/>
                              <w:marTop w:val="0"/>
                              <w:marBottom w:val="0"/>
                              <w:divBdr>
                                <w:top w:val="none" w:sz="0" w:space="0" w:color="auto"/>
                                <w:left w:val="none" w:sz="0" w:space="0" w:color="auto"/>
                                <w:bottom w:val="none" w:sz="0" w:space="0" w:color="auto"/>
                                <w:right w:val="none" w:sz="0" w:space="0" w:color="auto"/>
                              </w:divBdr>
                            </w:div>
                            <w:div w:id="39073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530603">
                  <w:marLeft w:val="0"/>
                  <w:marRight w:val="0"/>
                  <w:marTop w:val="0"/>
                  <w:marBottom w:val="0"/>
                  <w:divBdr>
                    <w:top w:val="none" w:sz="0" w:space="0" w:color="auto"/>
                    <w:left w:val="none" w:sz="0" w:space="0" w:color="auto"/>
                    <w:bottom w:val="none" w:sz="0" w:space="0" w:color="auto"/>
                    <w:right w:val="none" w:sz="0" w:space="0" w:color="auto"/>
                  </w:divBdr>
                  <w:divsChild>
                    <w:div w:id="1602760559">
                      <w:marLeft w:val="0"/>
                      <w:marRight w:val="0"/>
                      <w:marTop w:val="0"/>
                      <w:marBottom w:val="0"/>
                      <w:divBdr>
                        <w:top w:val="none" w:sz="0" w:space="0" w:color="auto"/>
                        <w:left w:val="none" w:sz="0" w:space="0" w:color="auto"/>
                        <w:bottom w:val="none" w:sz="0" w:space="0" w:color="auto"/>
                        <w:right w:val="none" w:sz="0" w:space="0" w:color="auto"/>
                      </w:divBdr>
                      <w:divsChild>
                        <w:div w:id="1048148465">
                          <w:marLeft w:val="0"/>
                          <w:marRight w:val="0"/>
                          <w:marTop w:val="0"/>
                          <w:marBottom w:val="0"/>
                          <w:divBdr>
                            <w:top w:val="none" w:sz="0" w:space="0" w:color="auto"/>
                            <w:left w:val="none" w:sz="0" w:space="0" w:color="auto"/>
                            <w:bottom w:val="none" w:sz="0" w:space="0" w:color="auto"/>
                            <w:right w:val="none" w:sz="0" w:space="0" w:color="auto"/>
                          </w:divBdr>
                        </w:div>
                        <w:div w:id="125744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1091</Words>
  <Characters>6002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cp:revision>
  <dcterms:created xsi:type="dcterms:W3CDTF">2026-07-26T01:55:00Z</dcterms:created>
  <dcterms:modified xsi:type="dcterms:W3CDTF">2026-07-26T01:56:00Z</dcterms:modified>
</cp:coreProperties>
</file>