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shqcgpknfvqo" w:id="0"/>
      <w:bookmarkEnd w:id="0"/>
      <w:r w:rsidDel="00000000" w:rsidR="00000000" w:rsidRPr="00000000">
        <w:rPr>
          <w:rtl w:val="0"/>
        </w:rPr>
        <w:t xml:space="preserve">Documento de Supuestos: Stranded Capacity y Eficiencia de Cómputo de Alta Densidad</w:t>
      </w:r>
    </w:p>
    <w:p w:rsidR="00000000" w:rsidDel="00000000" w:rsidP="00000000" w:rsidRDefault="00000000" w:rsidRPr="00000000" w14:paraId="00000002">
      <w:pPr>
        <w:pStyle w:val="Heading1"/>
        <w:rPr/>
      </w:pPr>
      <w:bookmarkStart w:colFirst="0" w:colLast="0" w:name="_xam2rjo3p91" w:id="1"/>
      <w:bookmarkEnd w:id="1"/>
      <w:r w:rsidDel="00000000" w:rsidR="00000000" w:rsidRPr="00000000">
        <w:rPr>
          <w:rtl w:val="0"/>
        </w:rPr>
        <w:t xml:space="preserve">1. Introducción y Definición Teórica de la Capacidad Varada (Stranded Capacity)</w:t>
      </w:r>
    </w:p>
    <w:p w:rsidR="00000000" w:rsidDel="00000000" w:rsidP="00000000" w:rsidRDefault="00000000" w:rsidRPr="00000000" w14:paraId="00000003">
      <w:pPr>
        <w:spacing w:after="240" w:line="360" w:lineRule="auto"/>
        <w:rPr/>
      </w:pPr>
      <w:r w:rsidDel="00000000" w:rsidR="00000000" w:rsidRPr="00000000">
        <w:rPr>
          <w:rtl w:val="0"/>
        </w:rPr>
        <w:t xml:space="preserve">En el actual paradigma de expansión de la Inteligencia Artificial, el arbitraje de </w:t>
      </w:r>
      <w:r w:rsidDel="00000000" w:rsidR="00000000" w:rsidRPr="00000000">
        <w:rPr>
          <w:b w:val="1"/>
          <w:bCs w:val="1"/>
          <w:rtl w:val="0"/>
        </w:rPr>
        <w:t xml:space="preserve">potencia eléctrica</w:t>
      </w:r>
      <w:r w:rsidDel="00000000" w:rsidR="00000000" w:rsidRPr="00000000">
        <w:rPr>
          <w:rtl w:val="0"/>
        </w:rPr>
        <w:t xml:space="preserve"> se ha consolidado como el factor limitante crítico para el escalamiento de infraestructura. La gestión de activos de cómputo de alta densidad ya no es un reto puramente técnico, sino una disciplina de </w:t>
      </w:r>
      <w:r w:rsidDel="00000000" w:rsidR="00000000" w:rsidRPr="00000000">
        <w:rPr>
          <w:b w:val="1"/>
          <w:bCs w:val="1"/>
          <w:rtl w:val="0"/>
        </w:rPr>
        <w:t xml:space="preserve">optimización financiera de activos</w:t>
      </w:r>
      <w:r w:rsidDel="00000000" w:rsidR="00000000" w:rsidRPr="00000000">
        <w:rPr>
          <w:rtl w:val="0"/>
        </w:rPr>
        <w:t xml:space="preserve">. La </w:t>
      </w:r>
      <w:r w:rsidDel="00000000" w:rsidR="00000000" w:rsidRPr="00000000">
        <w:rPr>
          <w:b w:val="1"/>
          <w:bCs w:val="1"/>
          <w:rtl w:val="0"/>
        </w:rPr>
        <w:t xml:space="preserve">Capacidad Varada</w:t>
      </w:r>
      <w:r w:rsidDel="00000000" w:rsidR="00000000" w:rsidRPr="00000000">
        <w:rPr>
          <w:rtl w:val="0"/>
        </w:rPr>
        <w:t xml:space="preserve"> (</w:t>
      </w:r>
      <w:r w:rsidDel="00000000" w:rsidR="00000000" w:rsidRPr="00000000">
        <w:rPr>
          <w:b w:val="1"/>
          <w:bCs w:val="1"/>
          <w:i w:val="1"/>
          <w:iCs w:val="1"/>
          <w:rtl w:val="0"/>
        </w:rPr>
        <w:t xml:space="preserve">Stranded Capacity</w:t>
      </w:r>
      <w:r w:rsidDel="00000000" w:rsidR="00000000" w:rsidRPr="00000000">
        <w:rPr>
          <w:rtl w:val="0"/>
        </w:rPr>
        <w:t xml:space="preserve">) representa una ineficiencia estructural donde la potencia IT aprovisionada y pagada (CAPEX de soporte) excede sistemáticamente el consumo real de los servidores en producción. Según los análisis de Sankar &amp; Vaid (Microsoft GFS), esta brecha no es marginal: en entornos de almacenamiento/base de datos, el aprovisionamiento basado en "Max-Power" frente a uno basado en trazas reales (</w:t>
      </w:r>
      <w:r w:rsidDel="00000000" w:rsidR="00000000" w:rsidRPr="00000000">
        <w:rPr>
          <w:i w:val="1"/>
          <w:iCs w:val="1"/>
          <w:rtl w:val="0"/>
        </w:rPr>
        <w:t xml:space="preserve">Trace-Driven</w:t>
      </w:r>
      <w:r w:rsidDel="00000000" w:rsidR="00000000" w:rsidRPr="00000000">
        <w:rPr>
          <w:rtl w:val="0"/>
        </w:rPr>
        <w:t xml:space="preserve">) revela una sobre-provisión de hasta el 13%. Desde una perspectiva estratégica, la liberación de esta capacidad varada permite una expansión agresiva sin incurrir en nuevas construcciones de data centers. Al optimizar la asignación de potencia en un footprint de 15MW, es técnicamente viable incrementar las </w:t>
      </w:r>
      <w:r w:rsidDel="00000000" w:rsidR="00000000" w:rsidRPr="00000000">
        <w:rPr>
          <w:b w:val="1"/>
          <w:bCs w:val="1"/>
          <w:rtl w:val="0"/>
        </w:rPr>
        <w:t xml:space="preserve">Unidades de Escala</w:t>
      </w:r>
      <w:r w:rsidDel="00000000" w:rsidR="00000000" w:rsidRPr="00000000">
        <w:rPr>
          <w:rtl w:val="0"/>
        </w:rPr>
        <w:t xml:space="preserve"> (</w:t>
      </w:r>
      <w:r w:rsidDel="00000000" w:rsidR="00000000" w:rsidRPr="00000000">
        <w:rPr>
          <w:b w:val="1"/>
          <w:bCs w:val="1"/>
          <w:i w:val="1"/>
          <w:iCs w:val="1"/>
          <w:rtl w:val="0"/>
        </w:rPr>
        <w:t xml:space="preserve">Scale Units</w:t>
      </w:r>
      <w:r w:rsidDel="00000000" w:rsidR="00000000" w:rsidRPr="00000000">
        <w:rPr>
          <w:rtl w:val="0"/>
        </w:rPr>
        <w:t xml:space="preserve">), lo que se traduce en la capacidad de soportar </w:t>
      </w:r>
      <w:r w:rsidDel="00000000" w:rsidR="00000000" w:rsidRPr="00000000">
        <w:rPr>
          <w:b w:val="1"/>
          <w:bCs w:val="1"/>
          <w:rtl w:val="0"/>
        </w:rPr>
        <w:t xml:space="preserve">0.9 millones de usuarios adicionales</w:t>
      </w:r>
      <w:r w:rsidDel="00000000" w:rsidR="00000000" w:rsidRPr="00000000">
        <w:rPr>
          <w:rtl w:val="0"/>
        </w:rPr>
        <w:t xml:space="preserve"> bajo el mismo presupuesto energético. Este documento establece los supuestos necesarios para identificar y mitigar el desacople entre la carga térmica real y la capacidad de enfriamiento provista, medido a través del </w:t>
      </w:r>
      <w:r w:rsidDel="00000000" w:rsidR="00000000" w:rsidRPr="00000000">
        <w:rPr>
          <w:b w:val="1"/>
          <w:bCs w:val="1"/>
          <w:i w:val="1"/>
          <w:iCs w:val="1"/>
          <w:rtl w:val="0"/>
        </w:rPr>
        <w:t xml:space="preserve">Cooling Capacity Factor</w:t>
      </w:r>
      <w:r w:rsidDel="00000000" w:rsidR="00000000" w:rsidRPr="00000000">
        <w:rPr>
          <w:rtl w:val="0"/>
        </w:rPr>
        <w:t xml:space="preserve"> (CCF) y el </w:t>
      </w:r>
      <w:r w:rsidDel="00000000" w:rsidR="00000000" w:rsidRPr="00000000">
        <w:rPr>
          <w:b w:val="1"/>
          <w:bCs w:val="1"/>
          <w:rtl w:val="0"/>
        </w:rPr>
        <w:t xml:space="preserve">PUE</w:t>
      </w:r>
      <w:r w:rsidDel="00000000" w:rsidR="00000000" w:rsidRPr="00000000">
        <w:rPr>
          <w:rtl w:val="0"/>
        </w:rPr>
        <w:t xml:space="preserve">, asegurando que cada vatio de infraestructura se traduzca en flujo de caja operativo.</w:t>
      </w:r>
    </w:p>
    <w:p w:rsidR="00000000" w:rsidDel="00000000" w:rsidP="00000000" w:rsidRDefault="00000000" w:rsidRPr="00000000" w14:paraId="00000004">
      <w:pPr>
        <w:pStyle w:val="Heading1"/>
        <w:rPr/>
      </w:pPr>
      <w:bookmarkStart w:colFirst="0" w:colLast="0" w:name="_tgr3xvwq3vm6" w:id="2"/>
      <w:bookmarkEnd w:id="2"/>
      <w:r w:rsidDel="00000000" w:rsidR="00000000" w:rsidRPr="00000000">
        <w:rPr>
          <w:rtl w:val="0"/>
        </w:rPr>
        <w:t xml:space="preserve">2. Matriz de Supuestos y Rangos de Infraestructura (Aire/Líquido/Híbrido)</w:t>
      </w:r>
    </w:p>
    <w:p w:rsidR="00000000" w:rsidDel="00000000" w:rsidP="00000000" w:rsidRDefault="00000000" w:rsidRPr="00000000" w14:paraId="00000005">
      <w:pPr>
        <w:spacing w:after="240" w:line="360" w:lineRule="auto"/>
        <w:rPr/>
      </w:pPr>
      <w:r w:rsidDel="00000000" w:rsidR="00000000" w:rsidRPr="00000000">
        <w:rPr>
          <w:rtl w:val="0"/>
        </w:rPr>
        <w:t xml:space="preserve">La segmentación de supuestos por tecnología de enfriamiento es obligatoria para mitigar el riesgo de inversión en </w:t>
      </w:r>
      <w:r w:rsidDel="00000000" w:rsidR="00000000" w:rsidRPr="00000000">
        <w:rPr>
          <w:b w:val="1"/>
          <w:bCs w:val="1"/>
          <w:rtl w:val="0"/>
        </w:rPr>
        <w:t xml:space="preserve">CAPEX</w:t>
      </w:r>
      <w:r w:rsidDel="00000000" w:rsidR="00000000" w:rsidRPr="00000000">
        <w:rPr>
          <w:rtl w:val="0"/>
        </w:rPr>
        <w:t xml:space="preserve"> y evitar la erosión del </w:t>
      </w:r>
      <w:r w:rsidDel="00000000" w:rsidR="00000000" w:rsidRPr="00000000">
        <w:rPr>
          <w:b w:val="1"/>
          <w:bCs w:val="1"/>
          <w:rtl w:val="0"/>
        </w:rPr>
        <w:t xml:space="preserve">TCO</w:t>
      </w:r>
      <w:r w:rsidDel="00000000" w:rsidR="00000000" w:rsidRPr="00000000">
        <w:rPr>
          <w:rtl w:val="0"/>
        </w:rPr>
        <w:t xml:space="preserve">. Un diferenciador crítico identificado por Supermicro es que los sistemas enfriados por aire introducen un error de medición "detrás del medidor": la potencia de los ventiladores del servidor se cuenta erróneamente como carga de IT, inflando artificialmente el </w:t>
      </w:r>
      <w:r w:rsidDel="00000000" w:rsidR="00000000" w:rsidRPr="00000000">
        <w:rPr>
          <w:b w:val="1"/>
          <w:bCs w:val="1"/>
          <w:rtl w:val="0"/>
        </w:rPr>
        <w:t xml:space="preserve">PUE</w:t>
      </w:r>
      <w:r w:rsidDel="00000000" w:rsidR="00000000" w:rsidRPr="00000000">
        <w:rPr>
          <w:rtl w:val="0"/>
        </w:rPr>
        <w:t xml:space="preserve"> real de la infraestructura. La transición a líquido elimina este desperdicio de potencia (</w:t>
      </w:r>
      <w:r w:rsidDel="00000000" w:rsidR="00000000" w:rsidRPr="00000000">
        <w:rPr>
          <w:i w:val="1"/>
          <w:iCs w:val="1"/>
          <w:rtl w:val="0"/>
        </w:rPr>
        <w:t xml:space="preserve">IT-fan power</w:t>
      </w:r>
      <w:r w:rsidDel="00000000" w:rsidR="00000000" w:rsidRPr="00000000">
        <w:rPr>
          <w:rtl w:val="0"/>
        </w:rPr>
        <w:t xml:space="preserve">), logrando un ahorro promedio de </w:t>
      </w:r>
      <w:r w:rsidDel="00000000" w:rsidR="00000000" w:rsidRPr="00000000">
        <w:rPr>
          <w:b w:val="1"/>
          <w:bCs w:val="1"/>
          <w:rtl w:val="0"/>
        </w:rPr>
        <w:t xml:space="preserve">1 kW por nodo</w:t>
      </w:r>
      <w:r w:rsidDel="00000000" w:rsidR="00000000" w:rsidRPr="00000000">
        <w:rPr>
          <w:rtl w:val="0"/>
        </w:rPr>
        <w:t xml:space="preserve">. A continuación, se define la matriz tecnológica para la modelación financiera:</w:t>
      </w:r>
    </w:p>
    <w:p w:rsidR="00000000" w:rsidDel="00000000" w:rsidP="00000000" w:rsidRDefault="00000000" w:rsidRPr="00000000" w14:paraId="00000006">
      <w:pPr>
        <w:rPr/>
      </w:pPr>
      <w:r w:rsidDel="00000000" w:rsidR="00000000" w:rsidRPr="00000000">
        <w:rPr>
          <w:rtl w:val="0"/>
        </w:rPr>
      </w:r>
    </w:p>
    <w:tbl>
      <w:tblPr>
        <w:tblStyle w:val="Table1"/>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1600"/>
        <w:gridCol w:w="1800"/>
        <w:gridCol w:w="2000"/>
        <w:gridCol w:w="2200"/>
        <w:tblGridChange w:id="0">
          <w:tblGrid>
            <w:gridCol w:w="2400"/>
            <w:gridCol w:w="1600"/>
            <w:gridCol w:w="1800"/>
            <w:gridCol w:w="2000"/>
            <w:gridCol w:w="2200"/>
          </w:tblGrid>
        </w:tblGridChange>
      </w:tblGrid>
      <w:tr>
        <w:trPr>
          <w:cantSplit w:val="0"/>
          <w:tblHeader w:val="1"/>
        </w:trPr>
        <w:tc>
          <w:tcPr/>
          <w:p w:rsidR="00000000" w:rsidDel="00000000" w:rsidP="00000000" w:rsidRDefault="00000000" w:rsidRPr="00000000" w14:paraId="00000007">
            <w:pPr>
              <w:jc w:val="center"/>
              <w:rPr/>
            </w:pPr>
            <w:r w:rsidDel="00000000" w:rsidR="00000000" w:rsidRPr="00000000">
              <w:rPr>
                <w:b w:val="1"/>
                <w:bCs w:val="1"/>
                <w:rtl w:val="0"/>
              </w:rPr>
              <w:t xml:space="preserve">Configuración de Enfriamiento</w:t>
            </w:r>
            <w:r w:rsidDel="00000000" w:rsidR="00000000" w:rsidRPr="00000000">
              <w:rPr>
                <w:rtl w:val="0"/>
              </w:rPr>
            </w:r>
          </w:p>
        </w:tc>
        <w:tc>
          <w:tcPr/>
          <w:p w:rsidR="00000000" w:rsidDel="00000000" w:rsidP="00000000" w:rsidRDefault="00000000" w:rsidRPr="00000000" w14:paraId="00000008">
            <w:pPr>
              <w:jc w:val="center"/>
              <w:rPr/>
            </w:pPr>
            <w:r w:rsidDel="00000000" w:rsidR="00000000" w:rsidRPr="00000000">
              <w:rPr>
                <w:b w:val="1"/>
                <w:bCs w:val="1"/>
                <w:rtl w:val="0"/>
              </w:rPr>
              <w:t xml:space="preserve">PUE de Referencia</w:t>
            </w:r>
            <w:r w:rsidDel="00000000" w:rsidR="00000000" w:rsidRPr="00000000">
              <w:rPr>
                <w:rtl w:val="0"/>
              </w:rPr>
            </w:r>
          </w:p>
        </w:tc>
        <w:tc>
          <w:tcPr/>
          <w:p w:rsidR="00000000" w:rsidDel="00000000" w:rsidP="00000000" w:rsidRDefault="00000000" w:rsidRPr="00000000" w14:paraId="00000009">
            <w:pPr>
              <w:jc w:val="center"/>
              <w:rPr/>
            </w:pPr>
            <w:r w:rsidDel="00000000" w:rsidR="00000000" w:rsidRPr="00000000">
              <w:rPr>
                <w:b w:val="1"/>
                <w:bCs w:val="1"/>
                <w:rtl w:val="0"/>
              </w:rPr>
              <w:t xml:space="preserve">% Stranded Capacity (Est.)</w:t>
            </w:r>
            <w:r w:rsidDel="00000000" w:rsidR="00000000" w:rsidRPr="00000000">
              <w:rPr>
                <w:rtl w:val="0"/>
              </w:rPr>
            </w:r>
          </w:p>
        </w:tc>
        <w:tc>
          <w:tcPr/>
          <w:p w:rsidR="00000000" w:rsidDel="00000000" w:rsidP="00000000" w:rsidRDefault="00000000" w:rsidRPr="00000000" w14:paraId="0000000A">
            <w:pPr>
              <w:jc w:val="center"/>
              <w:rPr/>
            </w:pPr>
            <w:r w:rsidDel="00000000" w:rsidR="00000000" w:rsidRPr="00000000">
              <w:rPr>
                <w:b w:val="1"/>
                <w:bCs w:val="1"/>
                <w:rtl w:val="0"/>
              </w:rPr>
              <w:t xml:space="preserve">CAPEX / MW (Rango)</w:t>
            </w:r>
            <w:r w:rsidDel="00000000" w:rsidR="00000000" w:rsidRPr="00000000">
              <w:rPr>
                <w:rtl w:val="0"/>
              </w:rPr>
            </w:r>
          </w:p>
        </w:tc>
        <w:tc>
          <w:tcPr/>
          <w:p w:rsidR="00000000" w:rsidDel="00000000" w:rsidP="00000000" w:rsidRDefault="00000000" w:rsidRPr="00000000" w14:paraId="0000000B">
            <w:pPr>
              <w:jc w:val="center"/>
              <w:rPr/>
            </w:pPr>
            <w:r w:rsidDel="00000000" w:rsidR="00000000" w:rsidRPr="00000000">
              <w:rPr>
                <w:b w:val="1"/>
                <w:bCs w:val="1"/>
                <w:rtl w:val="0"/>
              </w:rPr>
              <w:t xml:space="preserve">TCO Est. ($/kW IT - 10 años)</w:t>
            </w:r>
            <w:r w:rsidDel="00000000" w:rsidR="00000000" w:rsidRPr="00000000">
              <w:rPr>
                <w:rtl w:val="0"/>
              </w:rPr>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Aire Tradicional (Containment)</w:t>
            </w:r>
          </w:p>
        </w:tc>
        <w:tc>
          <w:tcPr/>
          <w:p w:rsidR="00000000" w:rsidDel="00000000" w:rsidP="00000000" w:rsidRDefault="00000000" w:rsidRPr="00000000" w14:paraId="0000000D">
            <w:pPr>
              <w:jc w:val="center"/>
              <w:rPr/>
            </w:pPr>
            <w:r w:rsidDel="00000000" w:rsidR="00000000" w:rsidRPr="00000000">
              <w:rPr>
                <w:rtl w:val="0"/>
              </w:rPr>
              <w:t xml:space="preserve">1.58</w:t>
            </w:r>
          </w:p>
        </w:tc>
        <w:tc>
          <w:tcPr/>
          <w:p w:rsidR="00000000" w:rsidDel="00000000" w:rsidP="00000000" w:rsidRDefault="00000000" w:rsidRPr="00000000" w14:paraId="0000000E">
            <w:pPr>
              <w:jc w:val="center"/>
              <w:rPr/>
            </w:pPr>
            <w:r w:rsidDel="00000000" w:rsidR="00000000" w:rsidRPr="00000000">
              <w:rPr>
                <w:rtl w:val="0"/>
              </w:rPr>
              <w:t xml:space="preserve">12% - 13%</w:t>
            </w:r>
          </w:p>
        </w:tc>
        <w:tc>
          <w:tcPr/>
          <w:p w:rsidR="00000000" w:rsidDel="00000000" w:rsidP="00000000" w:rsidRDefault="00000000" w:rsidRPr="00000000" w14:paraId="0000000F">
            <w:pPr>
              <w:jc w:val="center"/>
              <w:rPr/>
            </w:pPr>
            <w:r w:rsidDel="00000000" w:rsidR="00000000" w:rsidRPr="00000000">
              <w:rPr>
                <w:rtl w:val="0"/>
              </w:rPr>
              <w:t xml:space="preserve">$10M - $12M</w:t>
            </w:r>
          </w:p>
        </w:tc>
        <w:tc>
          <w:tcPr/>
          <w:p w:rsidR="00000000" w:rsidDel="00000000" w:rsidP="00000000" w:rsidRDefault="00000000" w:rsidRPr="00000000" w14:paraId="00000010">
            <w:pPr>
              <w:jc w:val="center"/>
              <w:rPr/>
            </w:pPr>
            <w:r w:rsidDel="00000000" w:rsidR="00000000" w:rsidRPr="00000000">
              <w:rPr>
                <w:rtl w:val="0"/>
              </w:rPr>
              <w:t xml:space="preserve">$6,500 - $11,000</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Híbrido (RDHx / Direct-to-Chip)</w:t>
            </w:r>
          </w:p>
        </w:tc>
        <w:tc>
          <w:tcPr/>
          <w:p w:rsidR="00000000" w:rsidDel="00000000" w:rsidP="00000000" w:rsidRDefault="00000000" w:rsidRPr="00000000" w14:paraId="00000012">
            <w:pPr>
              <w:jc w:val="center"/>
              <w:rPr/>
            </w:pPr>
            <w:r w:rsidDel="00000000" w:rsidR="00000000" w:rsidRPr="00000000">
              <w:rPr>
                <w:rtl w:val="0"/>
              </w:rPr>
              <w:t xml:space="preserve">1.25</w:t>
            </w:r>
          </w:p>
        </w:tc>
        <w:tc>
          <w:tcPr/>
          <w:p w:rsidR="00000000" w:rsidDel="00000000" w:rsidP="00000000" w:rsidRDefault="00000000" w:rsidRPr="00000000" w14:paraId="00000013">
            <w:pPr>
              <w:jc w:val="center"/>
              <w:rPr/>
            </w:pPr>
            <w:r w:rsidDel="00000000" w:rsidR="00000000" w:rsidRPr="00000000">
              <w:rPr>
                <w:rtl w:val="0"/>
              </w:rPr>
              <w:t xml:space="preserve">8% - 10%</w:t>
            </w:r>
          </w:p>
        </w:tc>
        <w:tc>
          <w:tcPr/>
          <w:p w:rsidR="00000000" w:rsidDel="00000000" w:rsidP="00000000" w:rsidRDefault="00000000" w:rsidRPr="00000000" w14:paraId="00000014">
            <w:pPr>
              <w:jc w:val="center"/>
              <w:rPr/>
            </w:pPr>
            <w:r w:rsidDel="00000000" w:rsidR="00000000" w:rsidRPr="00000000">
              <w:rPr>
                <w:rtl w:val="0"/>
              </w:rPr>
              <w:t xml:space="preserve">$12M - $15M</w:t>
            </w:r>
          </w:p>
        </w:tc>
        <w:tc>
          <w:tcPr/>
          <w:p w:rsidR="00000000" w:rsidDel="00000000" w:rsidP="00000000" w:rsidRDefault="00000000" w:rsidRPr="00000000" w14:paraId="00000015">
            <w:pPr>
              <w:jc w:val="center"/>
              <w:rPr/>
            </w:pPr>
            <w:r w:rsidDel="00000000" w:rsidR="00000000" w:rsidRPr="00000000">
              <w:rPr>
                <w:rtl w:val="0"/>
              </w:rPr>
              <w:t xml:space="preserve">$11,000 - $13,000</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Líquido (Inmersión / Direct-to-Chip)</w:t>
            </w:r>
          </w:p>
        </w:tc>
        <w:tc>
          <w:tcPr/>
          <w:p w:rsidR="00000000" w:rsidDel="00000000" w:rsidP="00000000" w:rsidRDefault="00000000" w:rsidRPr="00000000" w14:paraId="00000017">
            <w:pPr>
              <w:jc w:val="center"/>
              <w:rPr/>
            </w:pPr>
            <w:r w:rsidDel="00000000" w:rsidR="00000000" w:rsidRPr="00000000">
              <w:rPr>
                <w:rtl w:val="0"/>
              </w:rPr>
              <w:t xml:space="preserve">1.05 - 1.10</w:t>
            </w:r>
          </w:p>
        </w:tc>
        <w:tc>
          <w:tcPr/>
          <w:p w:rsidR="00000000" w:rsidDel="00000000" w:rsidP="00000000" w:rsidRDefault="00000000" w:rsidRPr="00000000" w14:paraId="00000018">
            <w:pPr>
              <w:jc w:val="center"/>
              <w:rPr/>
            </w:pPr>
            <w:r w:rsidDel="00000000" w:rsidR="00000000" w:rsidRPr="00000000">
              <w:rPr>
                <w:rtl w:val="0"/>
              </w:rPr>
              <w:t xml:space="preserve">&lt; 5%</w:t>
            </w:r>
          </w:p>
        </w:tc>
        <w:tc>
          <w:tcPr/>
          <w:p w:rsidR="00000000" w:rsidDel="00000000" w:rsidP="00000000" w:rsidRDefault="00000000" w:rsidRPr="00000000" w14:paraId="00000019">
            <w:pPr>
              <w:jc w:val="center"/>
              <w:rPr/>
            </w:pPr>
            <w:r w:rsidDel="00000000" w:rsidR="00000000" w:rsidRPr="00000000">
              <w:rPr>
                <w:rtl w:val="0"/>
              </w:rPr>
              <w:t xml:space="preserve">$15M - $20M</w:t>
            </w:r>
          </w:p>
        </w:tc>
        <w:tc>
          <w:tcPr/>
          <w:p w:rsidR="00000000" w:rsidDel="00000000" w:rsidP="00000000" w:rsidRDefault="00000000" w:rsidRPr="00000000" w14:paraId="0000001A">
            <w:pPr>
              <w:jc w:val="center"/>
              <w:rPr/>
            </w:pPr>
            <w:r w:rsidDel="00000000" w:rsidR="00000000" w:rsidRPr="00000000">
              <w:rPr>
                <w:rtl w:val="0"/>
              </w:rPr>
              <w:t xml:space="preserve">$8,000 - $14,000</w:t>
            </w:r>
          </w:p>
        </w:tc>
      </w:tr>
    </w:tbl>
    <w:p w:rsidR="00000000" w:rsidDel="00000000" w:rsidP="00000000" w:rsidRDefault="00000000" w:rsidRPr="00000000" w14:paraId="0000001B">
      <w:pPr>
        <w:rPr/>
      </w:pPr>
      <w:r w:rsidDel="00000000" w:rsidR="00000000" w:rsidRPr="00000000">
        <w:rPr>
          <w:rtl w:val="0"/>
        </w:rPr>
        <w:t xml:space="preserve">La migración a refrigeración líquida permite operar las GPUs en rangos térmicos de 46°C–54°C, sustancialmente inferiores a los 55°C–71°C observados en sistemas de aire. Esta estabilidad térmica no solo protege el hardware, sino que habilita una optimización de DVFS que incrementa el rendimiento computacional, permitiendo que la inversión en CAPEX líquido se recupere mediante la liberación de capacidad y la mejora del rendimiento por vatio.</w:t>
      </w:r>
    </w:p>
    <w:p w:rsidR="00000000" w:rsidDel="00000000" w:rsidP="00000000" w:rsidRDefault="00000000" w:rsidRPr="00000000" w14:paraId="0000001C">
      <w:pPr>
        <w:pStyle w:val="Heading1"/>
        <w:rPr/>
      </w:pPr>
      <w:bookmarkStart w:colFirst="0" w:colLast="0" w:name="_3n86agf36nk4" w:id="3"/>
      <w:bookmarkEnd w:id="3"/>
      <w:r w:rsidDel="00000000" w:rsidR="00000000" w:rsidRPr="00000000">
        <w:rPr>
          <w:rtl w:val="0"/>
        </w:rPr>
        <w:t xml:space="preserve">3. Metodología de Cálculo de Rangos y Límites Económicos</w:t>
      </w:r>
    </w:p>
    <w:p w:rsidR="00000000" w:rsidDel="00000000" w:rsidP="00000000" w:rsidRDefault="00000000" w:rsidRPr="00000000" w14:paraId="0000001D">
      <w:pPr>
        <w:rPr/>
      </w:pPr>
      <w:r w:rsidDel="00000000" w:rsidR="00000000" w:rsidRPr="00000000">
        <w:rPr>
          <w:rtl w:val="0"/>
        </w:rPr>
        <w:t xml:space="preserve">Para garantizar la rentabilidad de la infraestructura propia frente a opciones de subcontratación, este modelo establece un marco de "suelo y techo" financiero.</w:t>
      </w:r>
    </w:p>
    <w:p w:rsidR="00000000" w:rsidDel="00000000" w:rsidP="00000000" w:rsidRDefault="00000000" w:rsidRPr="00000000" w14:paraId="0000001E">
      <w:pPr>
        <w:pStyle w:val="Heading2"/>
        <w:rPr/>
      </w:pPr>
      <w:bookmarkStart w:colFirst="0" w:colLast="0" w:name="_zg7qmzlgedy2" w:id="4"/>
      <w:bookmarkEnd w:id="4"/>
      <w:r w:rsidDel="00000000" w:rsidR="00000000" w:rsidRPr="00000000">
        <w:rPr>
          <w:rtl w:val="0"/>
        </w:rPr>
        <w:t xml:space="preserve">Límite Inferior (Punto de Equilibrio Operativo)</w:t>
      </w:r>
    </w:p>
    <w:p w:rsidR="00000000" w:rsidDel="00000000" w:rsidP="00000000" w:rsidRDefault="00000000" w:rsidRPr="00000000" w14:paraId="0000001F">
      <w:pPr>
        <w:rPr/>
      </w:pPr>
      <w:r w:rsidDel="00000000" w:rsidR="00000000" w:rsidRPr="00000000">
        <w:rPr>
          <w:rtl w:val="0"/>
        </w:rPr>
        <w:t xml:space="preserve">Define el costo mínimo para mantener la capacidad activa. Se formaliza bajo la siguiente métrica:</w:t>
      </w:r>
    </w:p>
    <w:p w:rsidR="00000000" w:rsidDel="00000000" w:rsidP="00000000" w:rsidRDefault="00000000" w:rsidRPr="00000000" w14:paraId="00000020">
      <w:pPr>
        <w:pBdr>
          <w:top w:color="cccccc" w:space="0" w:sz="8" w:val="single"/>
          <w:left w:color="cccccc" w:space="0" w:sz="8" w:val="single"/>
          <w:bottom w:color="cccccc" w:space="0" w:sz="8" w:val="single"/>
          <w:right w:color="cccccc" w:space="0" w:sz="8" w:val="single"/>
        </w:pBdr>
        <w:shd w:fill="f3f3f3" w:val="clear"/>
        <w:spacing w:after="240" w:before="240" w:line="360" w:lineRule="auto"/>
        <w:jc w:val="center"/>
        <w:rPr/>
      </w:pPr>
      <w:r w:rsidDel="00000000" w:rsidR="00000000" w:rsidRPr="00000000">
        <w:rPr>
          <w:b w:val="1"/>
          <w:bCs w:val="1"/>
          <w:rtl w:val="0"/>
        </w:rPr>
        <w:t xml:space="preserve">Floor Formula:</w:t>
      </w:r>
      <w:r w:rsidDel="00000000" w:rsidR="00000000" w:rsidRPr="00000000">
        <w:rPr>
          <w:i w:val="1"/>
          <w:iCs w:val="1"/>
          <w:rtl w:val="0"/>
        </w:rPr>
        <w:t xml:space="preserve"> (OPEX Energy $/kWh * 8760 * PUE + Amortized CAPEX Total CAPEX / Lifecycle) / Total kW</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Siguiendo la tendencia de los principales </w:t>
      </w:r>
      <w:r w:rsidDel="00000000" w:rsidR="00000000" w:rsidRPr="00000000">
        <w:rPr>
          <w:i w:val="1"/>
          <w:iCs w:val="1"/>
          <w:rtl w:val="0"/>
        </w:rPr>
        <w:t xml:space="preserve">hyperscalers</w:t>
      </w:r>
      <w:r w:rsidDel="00000000" w:rsidR="00000000" w:rsidRPr="00000000">
        <w:rPr>
          <w:rtl w:val="0"/>
        </w:rPr>
        <w:t xml:space="preserve"> (Microsoft, Amazon, Google), este modelo asume una extensión del ciclo de vida del hardware de </w:t>
      </w:r>
      <w:r w:rsidDel="00000000" w:rsidR="00000000" w:rsidRPr="00000000">
        <w:rPr>
          <w:b w:val="1"/>
          <w:bCs w:val="1"/>
          <w:rtl w:val="0"/>
        </w:rPr>
        <w:t xml:space="preserve">3 a 6 años</w:t>
      </w:r>
      <w:r w:rsidDel="00000000" w:rsidR="00000000" w:rsidRPr="00000000">
        <w:rPr>
          <w:rtl w:val="0"/>
        </w:rPr>
        <w:t xml:space="preserve">, lo que diluye el CAPEX amortizado y reduce el impacto de la capacidad varada financiera en el balance anual.</w:t>
      </w:r>
    </w:p>
    <w:p w:rsidR="00000000" w:rsidDel="00000000" w:rsidP="00000000" w:rsidRDefault="00000000" w:rsidRPr="00000000" w14:paraId="00000022">
      <w:pPr>
        <w:pStyle w:val="Heading2"/>
        <w:rPr/>
      </w:pPr>
      <w:bookmarkStart w:colFirst="0" w:colLast="0" w:name="_2ai7lmhay89m" w:id="5"/>
      <w:bookmarkEnd w:id="5"/>
      <w:r w:rsidDel="00000000" w:rsidR="00000000" w:rsidRPr="00000000">
        <w:rPr>
          <w:rtl w:val="0"/>
        </w:rPr>
        <w:t xml:space="preserve">Límite Superior (Costo de Oportunidad)</w:t>
      </w:r>
    </w:p>
    <w:p w:rsidR="00000000" w:rsidDel="00000000" w:rsidP="00000000" w:rsidRDefault="00000000" w:rsidRPr="00000000" w14:paraId="00000023">
      <w:pPr>
        <w:rPr/>
      </w:pPr>
      <w:r w:rsidDel="00000000" w:rsidR="00000000" w:rsidRPr="00000000">
        <w:rPr>
          <w:rtl w:val="0"/>
        </w:rPr>
        <w:t xml:space="preserve">El techo financiero se define por el mercado de  </w:t>
      </w:r>
      <w:r w:rsidDel="00000000" w:rsidR="00000000" w:rsidRPr="00000000">
        <w:rPr>
          <w:i w:val="1"/>
          <w:iCs w:val="1"/>
          <w:rtl w:val="0"/>
        </w:rPr>
        <w:t xml:space="preserve">Colocation</w:t>
      </w:r>
      <w:r w:rsidDel="00000000" w:rsidR="00000000" w:rsidRPr="00000000">
        <w:rPr>
          <w:rtl w:val="0"/>
        </w:rPr>
        <w:t xml:space="preserve"> . Utilizando una tasa de mercado de  </w:t>
      </w:r>
      <w:r w:rsidDel="00000000" w:rsidR="00000000" w:rsidRPr="00000000">
        <w:rPr>
          <w:b w:val="1"/>
          <w:bCs w:val="1"/>
          <w:rtl w:val="0"/>
        </w:rPr>
        <w:t xml:space="preserve">$184/kW/mes</w:t>
      </w:r>
      <w:r w:rsidDel="00000000" w:rsidR="00000000" w:rsidRPr="00000000">
        <w:rPr>
          <w:rtl w:val="0"/>
        </w:rPr>
        <w:t xml:space="preserve"> , cualquier ineficiencia operativa que eleve el costo interno por encima de este umbral invalida la justificación económica de operar infraestructura privada. El objetivo estratégico es mantener el costo operativo interno al menos un 20% por debajo de este techo para justificar el riesgo de ejecución.</w:t>
      </w:r>
    </w:p>
    <w:p w:rsidR="00000000" w:rsidDel="00000000" w:rsidP="00000000" w:rsidRDefault="00000000" w:rsidRPr="00000000" w14:paraId="00000024">
      <w:pPr>
        <w:pStyle w:val="Heading1"/>
        <w:rPr/>
      </w:pPr>
      <w:bookmarkStart w:colFirst="0" w:colLast="0" w:name="_am0pltc9hl8n" w:id="6"/>
      <w:bookmarkEnd w:id="6"/>
      <w:r w:rsidDel="00000000" w:rsidR="00000000" w:rsidRPr="00000000">
        <w:rPr>
          <w:rtl w:val="0"/>
        </w:rPr>
        <w:t xml:space="preserve">4. Análisis de Sensibilidad de Variables Críticas</w:t>
      </w:r>
    </w:p>
    <w:p w:rsidR="00000000" w:rsidDel="00000000" w:rsidP="00000000" w:rsidRDefault="00000000" w:rsidRPr="00000000" w14:paraId="00000025">
      <w:pPr>
        <w:rPr/>
      </w:pPr>
      <w:r w:rsidDel="00000000" w:rsidR="00000000" w:rsidRPr="00000000">
        <w:rPr>
          <w:rtl w:val="0"/>
        </w:rPr>
        <w:t xml:space="preserve">La volatilidad en los mercados energéticos y la aparición de la "Espiral de Densidad-Costo" requieren un análisis de sensibilidad riguroso sobre las variables que desplazan el TCO:</w:t>
      </w:r>
    </w:p>
    <w:p w:rsidR="00000000" w:rsidDel="00000000" w:rsidP="00000000" w:rsidRDefault="00000000" w:rsidRPr="00000000" w14:paraId="00000026">
      <w:pPr>
        <w:numPr>
          <w:ilvl w:val="0"/>
          <w:numId w:val="2"/>
        </w:numPr>
        <w:ind w:left="720" w:hanging="360"/>
      </w:pPr>
      <w:r w:rsidDel="00000000" w:rsidR="00000000" w:rsidRPr="00000000">
        <w:rPr>
          <w:b w:val="1"/>
          <w:bCs w:val="1"/>
          <w:rtl w:val="0"/>
        </w:rPr>
        <w:t xml:space="preserve">Tarifa Eléctrica (</w:t>
      </w:r>
      <w:r w:rsidDel="00000000" w:rsidR="00000000" w:rsidRPr="00000000">
        <w:rPr>
          <w:rtl w:val="0"/>
        </w:rPr>
        <w:t xml:space="preserve">  </w:t>
      </w:r>
      <w:r w:rsidDel="00000000" w:rsidR="00000000" w:rsidRPr="00000000">
        <w:rPr>
          <w:b w:val="1"/>
          <w:bCs w:val="1"/>
          <w:rtl w:val="0"/>
        </w:rPr>
        <w:t xml:space="preserve">$/kWh):</w:t>
      </w:r>
      <w:r w:rsidDel="00000000" w:rsidR="00000000" w:rsidRPr="00000000">
        <w:rPr>
          <w:rtl w:val="0"/>
        </w:rPr>
        <w:t xml:space="preserve"> Es el multiplicador de ineficiencia más potente. Según datos de Nlyte, el costo anual de un rack de 60 kW se dispara de </w:t>
      </w:r>
      <w:r w:rsidDel="00000000" w:rsidR="00000000" w:rsidRPr="00000000">
        <w:rPr>
          <w:b w:val="1"/>
          <w:bCs w:val="1"/>
          <w:rtl w:val="0"/>
        </w:rPr>
        <w:t xml:space="preserve">$51,116 en regiones de bajo costo (</w:t>
      </w:r>
      <w:r w:rsidDel="00000000" w:rsidR="00000000" w:rsidRPr="00000000">
        <w:rPr>
          <w:rtl w:val="0"/>
        </w:rPr>
        <w:t xml:space="preserve">  $0.06/kWh como Iowa) a </w:t>
      </w:r>
      <w:r w:rsidDel="00000000" w:rsidR="00000000" w:rsidRPr="00000000">
        <w:rPr>
          <w:b w:val="1"/>
          <w:bCs w:val="1"/>
          <w:rtl w:val="0"/>
        </w:rPr>
        <w:t xml:space="preserve">$207,934</w:t>
      </w:r>
      <w:r w:rsidDel="00000000" w:rsidR="00000000" w:rsidRPr="00000000">
        <w:rPr>
          <w:rtl w:val="0"/>
        </w:rPr>
        <w:t xml:space="preserve">  en regiones de alto costo ($0.2496/kWh como California o Rhode Island).</w:t>
      </w:r>
    </w:p>
    <w:p w:rsidR="00000000" w:rsidDel="00000000" w:rsidP="00000000" w:rsidRDefault="00000000" w:rsidRPr="00000000" w14:paraId="00000027">
      <w:pPr>
        <w:numPr>
          <w:ilvl w:val="0"/>
          <w:numId w:val="2"/>
        </w:numPr>
        <w:ind w:left="720" w:hanging="360"/>
        <w:rPr>
          <w:u w:val="none"/>
        </w:rPr>
      </w:pPr>
      <w:r w:rsidDel="00000000" w:rsidR="00000000" w:rsidRPr="00000000">
        <w:rPr>
          <w:b w:val="1"/>
          <w:bCs w:val="1"/>
          <w:rtl w:val="0"/>
        </w:rPr>
        <w:t xml:space="preserve">PUE Real vs. Nominal:</w:t>
      </w:r>
      <w:r w:rsidDel="00000000" w:rsidR="00000000" w:rsidRPr="00000000">
        <w:rPr>
          <w:rtl w:val="0"/>
        </w:rPr>
        <w:t xml:space="preserve">  Un PUE ineficiente (ej. 1.67) actúa como un multiplicador de desperdicio sobre el OPEX. En racks de 60 kW, cada decimal de desviación del PUE nominal incrementa el costo de capacidad varada de forma exponencial, amenazando la estabilidad financiera del "Building Envelope".</w:t>
      </w:r>
    </w:p>
    <w:p w:rsidR="00000000" w:rsidDel="00000000" w:rsidP="00000000" w:rsidRDefault="00000000" w:rsidRPr="00000000" w14:paraId="00000028">
      <w:pPr>
        <w:numPr>
          <w:ilvl w:val="0"/>
          <w:numId w:val="2"/>
        </w:numPr>
        <w:ind w:left="720" w:hanging="360"/>
        <w:rPr>
          <w:u w:val="none"/>
        </w:rPr>
      </w:pPr>
      <w:r w:rsidDel="00000000" w:rsidR="00000000" w:rsidRPr="00000000">
        <w:rPr>
          <w:b w:val="1"/>
          <w:bCs w:val="1"/>
          <w:rtl w:val="0"/>
        </w:rPr>
        <w:t xml:space="preserve">Utilización de Cómputo y Servidores Zombie:</w:t>
      </w:r>
      <w:r w:rsidDel="00000000" w:rsidR="00000000" w:rsidRPr="00000000">
        <w:rPr>
          <w:rtl w:val="0"/>
        </w:rPr>
        <w:t xml:space="preserve">  La modelación de cargas específicas ( </w:t>
      </w:r>
      <w:r w:rsidDel="00000000" w:rsidR="00000000" w:rsidRPr="00000000">
        <w:rPr>
          <w:i w:val="1"/>
          <w:iCs w:val="1"/>
          <w:rtl w:val="0"/>
        </w:rPr>
        <w:t xml:space="preserve">Workload Specific Power Profiles</w:t>
      </w:r>
      <w:r w:rsidDel="00000000" w:rsidR="00000000" w:rsidRPr="00000000">
        <w:rPr>
          <w:rtl w:val="0"/>
        </w:rPr>
        <w:t xml:space="preserve"> ) revela brechas críticas de hasta  </w:t>
      </w:r>
      <w:r w:rsidDel="00000000" w:rsidR="00000000" w:rsidRPr="00000000">
        <w:rPr>
          <w:b w:val="1"/>
          <w:bCs w:val="1"/>
          <w:rtl w:val="0"/>
        </w:rPr>
        <w:t xml:space="preserve">48 vatios</w:t>
      </w:r>
      <w:r w:rsidDel="00000000" w:rsidR="00000000" w:rsidRPr="00000000">
        <w:rPr>
          <w:rtl w:val="0"/>
        </w:rPr>
        <w:t xml:space="preserve">  por servidor en componentes de almacenamiento subutilizados. Ignorar estas trazas de consumo real resulta en un sobredimensionamiento masivo de la infraestructura de soporte.</w:t>
      </w:r>
    </w:p>
    <w:p w:rsidR="00000000" w:rsidDel="00000000" w:rsidP="00000000" w:rsidRDefault="00000000" w:rsidRPr="00000000" w14:paraId="00000029">
      <w:pPr>
        <w:pStyle w:val="Heading1"/>
        <w:rPr/>
      </w:pPr>
      <w:bookmarkStart w:colFirst="0" w:colLast="0" w:name="_p80bp1unz3ij" w:id="7"/>
      <w:bookmarkEnd w:id="7"/>
      <w:r w:rsidDel="00000000" w:rsidR="00000000" w:rsidRPr="00000000">
        <w:rPr>
          <w:rtl w:val="0"/>
        </w:rPr>
        <w:t xml:space="preserve">5. Declaración de Auditabilidad y Límites del Modelo</w:t>
      </w:r>
    </w:p>
    <w:p w:rsidR="00000000" w:rsidDel="00000000" w:rsidP="00000000" w:rsidRDefault="00000000" w:rsidRPr="00000000" w14:paraId="0000002A">
      <w:pPr>
        <w:rPr/>
      </w:pPr>
      <w:r w:rsidDel="00000000" w:rsidR="00000000" w:rsidRPr="00000000">
        <w:rPr>
          <w:rtl w:val="0"/>
        </w:rPr>
        <w:t xml:space="preserve">La validez de estos supuestos depende de la integridad de la telemetría y la estabilidad de las cargas de trabajo.</w:t>
      </w:r>
    </w:p>
    <w:p w:rsidR="00000000" w:rsidDel="00000000" w:rsidP="00000000" w:rsidRDefault="00000000" w:rsidRPr="00000000" w14:paraId="0000002B">
      <w:pPr>
        <w:numPr>
          <w:ilvl w:val="0"/>
          <w:numId w:val="3"/>
        </w:numPr>
        <w:ind w:left="720" w:hanging="360"/>
        <w:rPr>
          <w:u w:val="none"/>
        </w:rPr>
      </w:pPr>
      <w:r w:rsidDel="00000000" w:rsidR="00000000" w:rsidRPr="00000000">
        <w:rPr>
          <w:b w:val="1"/>
          <w:bCs w:val="1"/>
          <w:rtl w:val="0"/>
        </w:rPr>
        <w:t xml:space="preserve">Límites del Modelo:</w:t>
      </w:r>
      <w:r w:rsidDel="00000000" w:rsidR="00000000" w:rsidRPr="00000000">
        <w:rPr>
          <w:rtl w:val="0"/>
        </w:rPr>
        <w:t xml:space="preserve">  Los supuestos asumen un estado estacionario ( </w:t>
      </w:r>
      <w:r w:rsidDel="00000000" w:rsidR="00000000" w:rsidRPr="00000000">
        <w:rPr>
          <w:i w:val="1"/>
          <w:iCs w:val="1"/>
          <w:rtl w:val="0"/>
        </w:rPr>
        <w:t xml:space="preserve">Steady State</w:t>
      </w:r>
      <w:r w:rsidDel="00000000" w:rsidR="00000000" w:rsidRPr="00000000">
        <w:rPr>
          <w:rtl w:val="0"/>
        </w:rPr>
        <w:t xml:space="preserve"> ). Variaciones imprevistas en la demanda pueden alterar el perfil de potencia. El modelo es sensible a la precisión de los medidores de PUE; errores en la atribución de potencia de ventiladores pueden desviar los resultados del TCO.</w:t>
      </w:r>
    </w:p>
    <w:p w:rsidR="00000000" w:rsidDel="00000000" w:rsidP="00000000" w:rsidRDefault="00000000" w:rsidRPr="00000000" w14:paraId="0000002C">
      <w:pPr>
        <w:numPr>
          <w:ilvl w:val="0"/>
          <w:numId w:val="3"/>
        </w:numPr>
        <w:ind w:left="720" w:hanging="360"/>
        <w:rPr>
          <w:u w:val="none"/>
        </w:rPr>
      </w:pPr>
      <w:r w:rsidDel="00000000" w:rsidR="00000000" w:rsidRPr="00000000">
        <w:rPr>
          <w:b w:val="1"/>
          <w:bCs w:val="1"/>
          <w:rtl w:val="0"/>
        </w:rPr>
        <w:t xml:space="preserve">Protocolo de Auditoría:</w:t>
      </w:r>
      <w:r w:rsidDel="00000000" w:rsidR="00000000" w:rsidRPr="00000000">
        <w:rPr>
          <w:rtl w:val="0"/>
        </w:rPr>
        <w:t xml:space="preserve">  Se exige la validación cruzada de supuestos mediante trazas de  </w:t>
      </w:r>
      <w:r w:rsidDel="00000000" w:rsidR="00000000" w:rsidRPr="00000000">
        <w:rPr>
          <w:b w:val="1"/>
          <w:bCs w:val="1"/>
          <w:rtl w:val="0"/>
        </w:rPr>
        <w:t xml:space="preserve">ETW (Event Tracing for Windows)</w:t>
      </w:r>
      <w:r w:rsidDel="00000000" w:rsidR="00000000" w:rsidRPr="00000000">
        <w:rPr>
          <w:rtl w:val="0"/>
        </w:rPr>
        <w:t xml:space="preserve">  y herramientas de DCIM. La telemetría real debe coincidir con las proyecciones de diseño para evitar desviaciones en el retorno de inversión.</w:t>
      </w:r>
    </w:p>
    <w:p w:rsidR="00000000" w:rsidDel="00000000" w:rsidP="00000000" w:rsidRDefault="00000000" w:rsidRPr="00000000" w14:paraId="0000002D">
      <w:pPr>
        <w:numPr>
          <w:ilvl w:val="0"/>
          <w:numId w:val="3"/>
        </w:numPr>
        <w:ind w:left="720" w:hanging="360"/>
        <w:rPr>
          <w:u w:val="none"/>
        </w:rPr>
      </w:pPr>
      <w:r w:rsidDel="00000000" w:rsidR="00000000" w:rsidRPr="00000000">
        <w:rPr>
          <w:b w:val="1"/>
          <w:bCs w:val="1"/>
          <w:rtl w:val="0"/>
        </w:rPr>
        <w:t xml:space="preserve">Advertencia de Riesgo (DVFS):</w:t>
      </w:r>
      <w:r w:rsidDel="00000000" w:rsidR="00000000" w:rsidRPr="00000000">
        <w:rPr>
          <w:rtl w:val="0"/>
        </w:rPr>
        <w:t xml:space="preserve">  La eficiencia proyectada está intrínsecamente ligada al margen térmico. Como demuestra el estudio de Supermicro, el enfriamiento líquido permite un  </w:t>
      </w:r>
      <w:r w:rsidDel="00000000" w:rsidR="00000000" w:rsidRPr="00000000">
        <w:rPr>
          <w:b w:val="1"/>
          <w:bCs w:val="1"/>
          <w:rtl w:val="0"/>
        </w:rPr>
        <w:t xml:space="preserve">17% más de throughput computacional</w:t>
      </w:r>
      <w:r w:rsidDel="00000000" w:rsidR="00000000" w:rsidRPr="00000000">
        <w:rPr>
          <w:rtl w:val="0"/>
        </w:rPr>
        <w:t xml:space="preserve">  al evitar que las GPUs alcancen el límite de aceleración ( </w:t>
      </w:r>
      <w:r w:rsidDel="00000000" w:rsidR="00000000" w:rsidRPr="00000000">
        <w:rPr>
          <w:i w:val="1"/>
          <w:iCs w:val="1"/>
          <w:rtl w:val="0"/>
        </w:rPr>
        <w:t xml:space="preserve">throttling</w:t>
      </w:r>
      <w:r w:rsidDel="00000000" w:rsidR="00000000" w:rsidRPr="00000000">
        <w:rPr>
          <w:rtl w:val="0"/>
        </w:rPr>
        <w:t xml:space="preserve"> ) de 71°C. Cambios disruptivos en la arquitectura de chips o en los algoritmos de escalado de voltaje y frecuencia (DVFS) podrían invalidar estos perfiles de potencia imprevistamente.</w:t>
      </w:r>
    </w:p>
    <w:p w:rsidR="00000000" w:rsidDel="00000000" w:rsidP="00000000" w:rsidRDefault="00000000" w:rsidRPr="00000000" w14:paraId="0000002E">
      <w:pPr>
        <w:pStyle w:val="Heading1"/>
        <w:rPr/>
      </w:pPr>
      <w:bookmarkStart w:colFirst="0" w:colLast="0" w:name="_6wyjekw7nu34" w:id="8"/>
      <w:bookmarkEnd w:id="8"/>
      <w:r w:rsidDel="00000000" w:rsidR="00000000" w:rsidRPr="00000000">
        <w:rPr>
          <w:rtl w:val="0"/>
        </w:rPr>
        <w:t xml:space="preserve">6. Referencias Bibliográficas</w:t>
      </w:r>
    </w:p>
    <w:p w:rsidR="00000000" w:rsidDel="00000000" w:rsidP="00000000" w:rsidRDefault="00000000" w:rsidRPr="00000000" w14:paraId="0000002F">
      <w:pPr>
        <w:numPr>
          <w:ilvl w:val="0"/>
          <w:numId w:val="4"/>
        </w:numPr>
        <w:ind w:left="720" w:hanging="360"/>
        <w:rPr>
          <w:u w:val="none"/>
        </w:rPr>
      </w:pPr>
      <w:r w:rsidDel="00000000" w:rsidR="00000000" w:rsidRPr="00000000">
        <w:rPr>
          <w:rtl w:val="0"/>
        </w:rPr>
        <w:t xml:space="preserve">Microsoft Global Foundation Services. (Sankar, S. &amp; Vaid, K., 2010).  </w:t>
      </w:r>
      <w:r w:rsidDel="00000000" w:rsidR="00000000" w:rsidRPr="00000000">
        <w:rPr>
          <w:i w:val="1"/>
          <w:iCs w:val="1"/>
          <w:rtl w:val="0"/>
        </w:rPr>
        <w:t xml:space="preserve">Addressing the Stranded Power Problem in Datacenters using Storage Workload Characterization</w:t>
      </w:r>
      <w:r w:rsidDel="00000000" w:rsidR="00000000" w:rsidRPr="00000000">
        <w:rPr>
          <w:rtl w:val="0"/>
        </w:rPr>
        <w:t xml:space="preserve"> . WOSP/SIPEW’10, January 2010, San Jose, CA.</w:t>
      </w:r>
    </w:p>
    <w:p w:rsidR="00000000" w:rsidDel="00000000" w:rsidP="00000000" w:rsidRDefault="00000000" w:rsidRPr="00000000" w14:paraId="00000030">
      <w:pPr>
        <w:numPr>
          <w:ilvl w:val="0"/>
          <w:numId w:val="4"/>
        </w:numPr>
        <w:ind w:left="720" w:hanging="360"/>
        <w:rPr>
          <w:u w:val="none"/>
        </w:rPr>
      </w:pPr>
      <w:r w:rsidDel="00000000" w:rsidR="00000000" w:rsidRPr="00000000">
        <w:rPr>
          <w:rtl w:val="0"/>
        </w:rPr>
        <w:t xml:space="preserve">Nlyte Software. (2025).  </w:t>
      </w:r>
      <w:r w:rsidDel="00000000" w:rsidR="00000000" w:rsidRPr="00000000">
        <w:rPr>
          <w:i w:val="1"/>
          <w:iCs w:val="1"/>
          <w:rtl w:val="0"/>
        </w:rPr>
        <w:t xml:space="preserve">Data Center Rack Power Costs: A Condensed Analysis</w:t>
      </w:r>
      <w:r w:rsidDel="00000000" w:rsidR="00000000" w:rsidRPr="00000000">
        <w:rPr>
          <w:rtl w:val="0"/>
        </w:rPr>
        <w:t xml:space="preserve"> .</w:t>
      </w:r>
    </w:p>
    <w:p w:rsidR="00000000" w:rsidDel="00000000" w:rsidP="00000000" w:rsidRDefault="00000000" w:rsidRPr="00000000" w14:paraId="00000031">
      <w:pPr>
        <w:numPr>
          <w:ilvl w:val="0"/>
          <w:numId w:val="4"/>
        </w:numPr>
        <w:ind w:left="720" w:hanging="360"/>
        <w:rPr>
          <w:u w:val="none"/>
        </w:rPr>
      </w:pPr>
      <w:r w:rsidDel="00000000" w:rsidR="00000000" w:rsidRPr="00000000">
        <w:rPr>
          <w:rtl w:val="0"/>
        </w:rPr>
        <w:t xml:space="preserve">Supermicro. (2025).  </w:t>
      </w:r>
      <w:r w:rsidDel="00000000" w:rsidR="00000000" w:rsidRPr="00000000">
        <w:rPr>
          <w:i w:val="1"/>
          <w:iCs w:val="1"/>
          <w:rtl w:val="0"/>
        </w:rPr>
        <w:t xml:space="preserve">Comparison of Air-Cooled versus Liquid-Cooled NVIDIA GPU Systems</w:t>
      </w:r>
      <w:r w:rsidDel="00000000" w:rsidR="00000000" w:rsidRPr="00000000">
        <w:rPr>
          <w:rtl w:val="0"/>
        </w:rPr>
        <w:t xml:space="preserve"> .</w:t>
      </w:r>
    </w:p>
    <w:p w:rsidR="00000000" w:rsidDel="00000000" w:rsidP="00000000" w:rsidRDefault="00000000" w:rsidRPr="00000000" w14:paraId="00000032">
      <w:pPr>
        <w:numPr>
          <w:ilvl w:val="0"/>
          <w:numId w:val="4"/>
        </w:numPr>
        <w:ind w:left="720" w:hanging="360"/>
        <w:rPr>
          <w:u w:val="none"/>
        </w:rPr>
      </w:pPr>
      <w:r w:rsidDel="00000000" w:rsidR="00000000" w:rsidRPr="00000000">
        <w:rPr>
          <w:rtl w:val="0"/>
        </w:rPr>
        <w:t xml:space="preserve">The Network Installers. (2025).  </w:t>
      </w:r>
      <w:r w:rsidDel="00000000" w:rsidR="00000000" w:rsidRPr="00000000">
        <w:rPr>
          <w:i w:val="1"/>
          <w:iCs w:val="1"/>
          <w:rtl w:val="0"/>
        </w:rPr>
        <w:t xml:space="preserve">Data Center Operating Costs: Complete Guide (2026)</w:t>
      </w:r>
      <w:r w:rsidDel="00000000" w:rsidR="00000000" w:rsidRPr="00000000">
        <w:rPr>
          <w:rtl w:val="0"/>
        </w:rPr>
        <w:t xml:space="preserve"> .</w:t>
      </w:r>
    </w:p>
    <w:p w:rsidR="00000000" w:rsidDel="00000000" w:rsidP="00000000" w:rsidRDefault="00000000" w:rsidRPr="00000000" w14:paraId="00000033">
      <w:pPr>
        <w:numPr>
          <w:ilvl w:val="0"/>
          <w:numId w:val="4"/>
        </w:numPr>
        <w:ind w:left="720" w:hanging="360"/>
        <w:rPr>
          <w:u w:val="none"/>
        </w:rPr>
      </w:pPr>
      <w:r w:rsidDel="00000000" w:rsidR="00000000" w:rsidRPr="00000000">
        <w:rPr>
          <w:rtl w:val="0"/>
        </w:rPr>
        <w:t xml:space="preserve">Energy Solutions Intelligence. (2026).  </w:t>
      </w:r>
      <w:r w:rsidDel="00000000" w:rsidR="00000000" w:rsidRPr="00000000">
        <w:rPr>
          <w:i w:val="1"/>
          <w:iCs w:val="1"/>
          <w:rtl w:val="0"/>
        </w:rPr>
        <w:t xml:space="preserve">Data Center Cooling 2026: Liquid Immersion vs Air – TCO &amp; Performance</w:t>
      </w:r>
      <w:r w:rsidDel="00000000" w:rsidR="00000000" w:rsidRPr="00000000">
        <w:rPr>
          <w:rtl w:val="0"/>
        </w:rPr>
        <w:t xml:space="preserve"> .</w:t>
      </w:r>
    </w:p>
    <w:p w:rsidR="00000000" w:rsidDel="00000000" w:rsidP="00000000" w:rsidRDefault="00000000" w:rsidRPr="00000000" w14:paraId="00000034">
      <w:pPr>
        <w:pStyle w:val="Heading1"/>
        <w:rPr/>
      </w:pPr>
      <w:bookmarkStart w:colFirst="0" w:colLast="0" w:name="_luhnyoswkly0" w:id="9"/>
      <w:bookmarkEnd w:id="9"/>
      <w:r w:rsidDel="00000000" w:rsidR="00000000" w:rsidRPr="00000000">
        <w:rPr>
          <w:rtl w:val="0"/>
        </w:rPr>
        <w:t xml:space="preserve">7. Anexo: Glosario de Términos Técnicos</w:t>
      </w:r>
    </w:p>
    <w:p w:rsidR="00000000" w:rsidDel="00000000" w:rsidP="00000000" w:rsidRDefault="00000000" w:rsidRPr="00000000" w14:paraId="00000035">
      <w:pPr>
        <w:numPr>
          <w:ilvl w:val="0"/>
          <w:numId w:val="1"/>
        </w:numPr>
        <w:ind w:left="720" w:hanging="360"/>
        <w:rPr>
          <w:u w:val="none"/>
        </w:rPr>
      </w:pPr>
      <w:r w:rsidDel="00000000" w:rsidR="00000000" w:rsidRPr="00000000">
        <w:rPr>
          <w:b w:val="1"/>
          <w:bCs w:val="1"/>
          <w:rtl w:val="0"/>
        </w:rPr>
        <w:t xml:space="preserve">PUE (Power Usage Effectiveness):</w:t>
      </w:r>
      <w:r w:rsidDel="00000000" w:rsidR="00000000" w:rsidRPr="00000000">
        <w:rPr>
          <w:rtl w:val="0"/>
        </w:rPr>
        <w:t xml:space="preserve">  Métrica de eficiencia que divide la potencia total de la instalación entre la potencia consumida por el equipo IT.</w:t>
      </w:r>
    </w:p>
    <w:p w:rsidR="00000000" w:rsidDel="00000000" w:rsidP="00000000" w:rsidRDefault="00000000" w:rsidRPr="00000000" w14:paraId="00000036">
      <w:pPr>
        <w:numPr>
          <w:ilvl w:val="0"/>
          <w:numId w:val="1"/>
        </w:numPr>
        <w:ind w:left="720" w:hanging="360"/>
        <w:rPr>
          <w:u w:val="none"/>
        </w:rPr>
      </w:pPr>
      <w:r w:rsidDel="00000000" w:rsidR="00000000" w:rsidRPr="00000000">
        <w:rPr>
          <w:b w:val="1"/>
          <w:bCs w:val="1"/>
          <w:rtl w:val="0"/>
        </w:rPr>
        <w:t xml:space="preserve">CCF (Cooling Capacity Factor):</w:t>
      </w:r>
      <w:r w:rsidDel="00000000" w:rsidR="00000000" w:rsidRPr="00000000">
        <w:rPr>
          <w:rtl w:val="0"/>
        </w:rPr>
        <w:t xml:space="preserve">  Indicador del desacople entre la carga térmica real de IT y la capacidad de enfriamiento provista.</w:t>
      </w:r>
    </w:p>
    <w:p w:rsidR="00000000" w:rsidDel="00000000" w:rsidP="00000000" w:rsidRDefault="00000000" w:rsidRPr="00000000" w14:paraId="00000037">
      <w:pPr>
        <w:numPr>
          <w:ilvl w:val="0"/>
          <w:numId w:val="1"/>
        </w:numPr>
        <w:ind w:left="720" w:hanging="360"/>
        <w:rPr>
          <w:u w:val="none"/>
        </w:rPr>
      </w:pPr>
      <w:r w:rsidDel="00000000" w:rsidR="00000000" w:rsidRPr="00000000">
        <w:rPr>
          <w:b w:val="1"/>
          <w:bCs w:val="1"/>
          <w:rtl w:val="0"/>
        </w:rPr>
        <w:t xml:space="preserve">Stranded Power / Capacity:</w:t>
      </w:r>
      <w:r w:rsidDel="00000000" w:rsidR="00000000" w:rsidRPr="00000000">
        <w:rPr>
          <w:rtl w:val="0"/>
        </w:rPr>
        <w:t xml:space="preserve">  Potencia eléctrica aprovisionada y pagada que no es consumida por el IT debido a un sobredimensionamiento preventivo.</w:t>
      </w:r>
    </w:p>
    <w:p w:rsidR="00000000" w:rsidDel="00000000" w:rsidP="00000000" w:rsidRDefault="00000000" w:rsidRPr="00000000" w14:paraId="00000038">
      <w:pPr>
        <w:numPr>
          <w:ilvl w:val="0"/>
          <w:numId w:val="1"/>
        </w:numPr>
        <w:ind w:left="720" w:hanging="360"/>
        <w:rPr>
          <w:u w:val="none"/>
        </w:rPr>
      </w:pPr>
      <w:r w:rsidDel="00000000" w:rsidR="00000000" w:rsidRPr="00000000">
        <w:rPr>
          <w:b w:val="1"/>
          <w:bCs w:val="1"/>
          <w:rtl w:val="0"/>
        </w:rPr>
        <w:t xml:space="preserve">Scale Unit (Unidad de Escala):</w:t>
      </w:r>
      <w:r w:rsidDel="00000000" w:rsidR="00000000" w:rsidRPr="00000000">
        <w:rPr>
          <w:rtl w:val="0"/>
        </w:rPr>
        <w:t xml:space="preserve">  Agrupación lógica de infraestructura (servidores, red, potencia) utilizada como bloque constructivo modular en data centers.</w:t>
      </w:r>
    </w:p>
    <w:p w:rsidR="00000000" w:rsidDel="00000000" w:rsidP="00000000" w:rsidRDefault="00000000" w:rsidRPr="00000000" w14:paraId="00000039">
      <w:pPr>
        <w:numPr>
          <w:ilvl w:val="0"/>
          <w:numId w:val="1"/>
        </w:numPr>
        <w:ind w:left="720" w:hanging="360"/>
        <w:rPr>
          <w:u w:val="none"/>
        </w:rPr>
      </w:pPr>
      <w:r w:rsidDel="00000000" w:rsidR="00000000" w:rsidRPr="00000000">
        <w:rPr>
          <w:b w:val="1"/>
          <w:bCs w:val="1"/>
          <w:rtl w:val="0"/>
        </w:rPr>
        <w:t xml:space="preserve">TCO (Total Cost of Ownership):</w:t>
      </w:r>
      <w:r w:rsidDel="00000000" w:rsidR="00000000" w:rsidRPr="00000000">
        <w:rPr>
          <w:rtl w:val="0"/>
        </w:rPr>
        <w:t xml:space="preserve">  Costo total de adquisición y operación de un activo durante su ciclo de vida útil.</w:t>
      </w:r>
    </w:p>
    <w:p w:rsidR="00000000" w:rsidDel="00000000" w:rsidP="00000000" w:rsidRDefault="00000000" w:rsidRPr="00000000" w14:paraId="0000003A">
      <w:pPr>
        <w:numPr>
          <w:ilvl w:val="0"/>
          <w:numId w:val="1"/>
        </w:numPr>
        <w:ind w:left="720" w:hanging="360"/>
        <w:rPr>
          <w:u w:val="none"/>
        </w:rPr>
      </w:pPr>
      <w:r w:rsidDel="00000000" w:rsidR="00000000" w:rsidRPr="00000000">
        <w:rPr>
          <w:b w:val="1"/>
          <w:bCs w:val="1"/>
          <w:rtl w:val="0"/>
        </w:rPr>
        <w:t xml:space="preserve">Direct-to-Chip Cooling:</w:t>
      </w:r>
      <w:r w:rsidDel="00000000" w:rsidR="00000000" w:rsidRPr="00000000">
        <w:rPr>
          <w:rtl w:val="0"/>
        </w:rPr>
        <w:t xml:space="preserve">  Uso de placas frías sobre CPUs/GPUs para remover calor directamente mediante líquido.</w:t>
      </w:r>
    </w:p>
    <w:p w:rsidR="00000000" w:rsidDel="00000000" w:rsidP="00000000" w:rsidRDefault="00000000" w:rsidRPr="00000000" w14:paraId="0000003B">
      <w:pPr>
        <w:numPr>
          <w:ilvl w:val="0"/>
          <w:numId w:val="1"/>
        </w:numPr>
        <w:ind w:left="720" w:hanging="360"/>
        <w:rPr>
          <w:u w:val="none"/>
        </w:rPr>
      </w:pPr>
      <w:r w:rsidDel="00000000" w:rsidR="00000000" w:rsidRPr="00000000">
        <w:rPr>
          <w:b w:val="1"/>
          <w:bCs w:val="1"/>
          <w:rtl w:val="0"/>
        </w:rPr>
        <w:t xml:space="preserve">DVFS (Dynamic Voltage-Frequency Scaling):</w:t>
      </w:r>
      <w:r w:rsidDel="00000000" w:rsidR="00000000" w:rsidRPr="00000000">
        <w:rPr>
          <w:rtl w:val="0"/>
        </w:rPr>
        <w:t xml:space="preserve">  Gestión dinámica de la potencia del procesador que ajusta frecuencia y voltaje según la carga térmica.</w:t>
      </w:r>
    </w:p>
    <w:p w:rsidR="00000000" w:rsidDel="00000000" w:rsidP="00000000" w:rsidRDefault="00000000" w:rsidRPr="00000000" w14:paraId="0000003C">
      <w:pPr>
        <w:numPr>
          <w:ilvl w:val="0"/>
          <w:numId w:val="1"/>
        </w:numPr>
        <w:ind w:left="720" w:hanging="360"/>
        <w:rPr>
          <w:u w:val="none"/>
        </w:rPr>
      </w:pPr>
      <w:r w:rsidDel="00000000" w:rsidR="00000000" w:rsidRPr="00000000">
        <w:rPr>
          <w:b w:val="1"/>
          <w:bCs w:val="1"/>
          <w:rtl w:val="0"/>
        </w:rPr>
        <w:t xml:space="preserve">Dielectric Fluid:</w:t>
      </w:r>
      <w:r w:rsidDel="00000000" w:rsidR="00000000" w:rsidRPr="00000000">
        <w:rPr>
          <w:rtl w:val="0"/>
        </w:rPr>
        <w:t xml:space="preserve">  Fluido no conductor utilizado para sumergir componentes electrónicos en sistemas de enfriamiento por inmersión.</w:t>
      </w:r>
    </w:p>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