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Como Data Engineer, he procesado y consolidado los datos estructurados provenientes de los múltiples informes financieros, técnicos y de tarifas energéticas (EIA, Electric Choice, análisis de TCO, etc.) presentes en las fuentes.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Dado que los documentos a menudo reportan las tarifas eléctricas por región y los benchmarks de infraestructura (PUE y CAPEX) por tipo de tecnología de manera separada, he cruzado las dimensiones utilizando los promedios sugeridos y los rangos de referencia para crear escenarios compuestos realistas.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continuación, presento la tabla extraída en formato CSV:</w:t>
      </w:r>
    </w:p>
    <w:p w:rsidR="00000000" w:rsidDel="00000000" w:rsidP="00000000" w:rsidRDefault="00000000" w:rsidRPr="00000000" w14:paraId="0000000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Region_o_Estado,Tarifa_Electrica_USD_kWh,Tipo_Cooling,PUE_Reportado,CAPEX_MW_USD</w:t>
      </w:r>
    </w:p>
    <w:p w:rsidR="00000000" w:rsidDel="00000000" w:rsidP="00000000" w:rsidRDefault="00000000" w:rsidRPr="00000000" w14:paraId="0000000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Promedio EE.UU.,0.1351,Air-Cooled (Promedio P50),1.55,"10,000,000 - 15,000,000"</w:t>
      </w:r>
    </w:p>
    <w:p w:rsidR="00000000" w:rsidDel="00000000" w:rsidP="00000000" w:rsidRDefault="00000000" w:rsidRPr="00000000" w14:paraId="0000000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Texas,0.0835,Direct-to-Chip Liquid,1.15 - 1.30,5885000</w:t>
      </w:r>
    </w:p>
    <w:p w:rsidR="00000000" w:rsidDel="00000000" w:rsidP="00000000" w:rsidRDefault="00000000" w:rsidRPr="00000000" w14:paraId="0000000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California,0.2575,Air-Cooled (RDHx),1.25 - 1.45,5745000</w:t>
      </w:r>
    </w:p>
    <w:p w:rsidR="00000000" w:rsidDel="00000000" w:rsidP="00000000" w:rsidRDefault="00000000" w:rsidRPr="00000000" w14:paraId="0000000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North Dakota,0.0705,Single-Phase Immersion,1.03 - 1.08,4740000</w:t>
      </w:r>
    </w:p>
    <w:p w:rsidR="00000000" w:rsidDel="00000000" w:rsidP="00000000" w:rsidRDefault="00000000" w:rsidRPr="00000000" w14:paraId="0000000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New York,0.2188,Híbrido (Aire + Líquido),1.34 - 1.35,"8,000,000 - 12,000,000"</w:t>
      </w:r>
    </w:p>
    <w:p w:rsidR="00000000" w:rsidDel="00000000" w:rsidP="00000000" w:rsidRDefault="00000000" w:rsidRPr="00000000" w14:paraId="0000000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Iowa,0.0615,Air-Cooled (Hiperescala optimizado),1.20,10000000</w:t>
      </w:r>
    </w:p>
    <w:p w:rsidR="00000000" w:rsidDel="00000000" w:rsidP="00000000" w:rsidRDefault="00000000" w:rsidRPr="00000000" w14:paraId="0000000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Rhode Island,0.2496,Air-Cooled (Tradicional Hot/Cold Aisle),1.65 - 1.95,20000000</w:t>
      </w:r>
    </w:p>
    <w:p w:rsidR="00000000" w:rsidDel="00000000" w:rsidP="00000000" w:rsidRDefault="00000000" w:rsidRPr="00000000" w14:paraId="0000000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Hawaii,0.4299,Two-Phase Immersion,1.02 - 1.08,15000000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p278zagkk7j6" w:id="0"/>
      <w:bookmarkEnd w:id="0"/>
      <w:r w:rsidDel="00000000" w:rsidR="00000000" w:rsidRPr="00000000">
        <w:rPr>
          <w:rtl w:val="0"/>
        </w:rPr>
        <w:t xml:space="preserve">Notas sobre la transformación y origen de los datos: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Tarifa_Electrica_USD_kWh:</w:t>
      </w:r>
      <w:r w:rsidDel="00000000" w:rsidR="00000000" w:rsidRPr="00000000">
        <w:rPr>
          <w:rtl w:val="0"/>
        </w:rPr>
        <w:t xml:space="preserve"> Extraída principalmente de los datos de la U.S. Energy Information Administration (EIA) de abril/julio de 2026. Se utilizaron las tarifas comerciales promedio, como el promedio nacional de </w:t>
      </w:r>
      <w:r w:rsidDel="00000000" w:rsidR="00000000" w:rsidRPr="00000000">
        <w:rPr>
          <w:b w:val="1"/>
          <w:bCs w:val="1"/>
          <w:rtl w:val="0"/>
        </w:rPr>
        <w:t xml:space="preserve">$0.1351/kWh</w:t>
      </w:r>
      <w:r w:rsidDel="00000000" w:rsidR="00000000" w:rsidRPr="00000000">
        <w:rPr>
          <w:rtl w:val="0"/>
        </w:rPr>
        <w:t xml:space="preserve"> 1, 2, extremos bajos como </w:t>
      </w:r>
      <w:r w:rsidDel="00000000" w:rsidR="00000000" w:rsidRPr="00000000">
        <w:rPr>
          <w:b w:val="1"/>
          <w:bCs w:val="1"/>
          <w:rtl w:val="0"/>
        </w:rPr>
        <w:t xml:space="preserve">North Dakota ($0.0705/kWh)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Iowa ($0.0615/kWh)</w:t>
      </w:r>
      <w:r w:rsidDel="00000000" w:rsidR="00000000" w:rsidRPr="00000000">
        <w:rPr>
          <w:rtl w:val="0"/>
        </w:rPr>
        <w:t xml:space="preserve"> 1, 3, 4, y extremos altos como </w:t>
      </w:r>
      <w:r w:rsidDel="00000000" w:rsidR="00000000" w:rsidRPr="00000000">
        <w:rPr>
          <w:b w:val="1"/>
          <w:bCs w:val="1"/>
          <w:rtl w:val="0"/>
        </w:rPr>
        <w:t xml:space="preserve">California ($0.2575/kWh)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Hawaii ($0.4299/kWh)</w:t>
      </w:r>
      <w:r w:rsidDel="00000000" w:rsidR="00000000" w:rsidRPr="00000000">
        <w:rPr>
          <w:rtl w:val="0"/>
        </w:rPr>
        <w:t xml:space="preserve"> 4, 5.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Tipo_Cooling &amp; PUE_Reportado:</w:t>
      </w:r>
      <w:r w:rsidDel="00000000" w:rsidR="00000000" w:rsidRPr="00000000">
        <w:rPr>
          <w:rtl w:val="0"/>
        </w:rPr>
        <w:t xml:space="preserve"> Los valores de PUE son los rangos de benchmark extraídos de las tablas operativas. Por ejemplo, el aire tradicional opera entre </w:t>
      </w:r>
      <w:r w:rsidDel="00000000" w:rsidR="00000000" w:rsidRPr="00000000">
        <w:rPr>
          <w:b w:val="1"/>
          <w:bCs w:val="1"/>
          <w:rtl w:val="0"/>
        </w:rPr>
        <w:t xml:space="preserve">1.65 y 1.95</w:t>
      </w:r>
      <w:r w:rsidDel="00000000" w:rsidR="00000000" w:rsidRPr="00000000">
        <w:rPr>
          <w:rtl w:val="0"/>
        </w:rPr>
        <w:t xml:space="preserve">, RDHx entre </w:t>
      </w:r>
      <w:r w:rsidDel="00000000" w:rsidR="00000000" w:rsidRPr="00000000">
        <w:rPr>
          <w:b w:val="1"/>
          <w:bCs w:val="1"/>
          <w:rtl w:val="0"/>
        </w:rPr>
        <w:t xml:space="preserve">1.25 y 1.45</w:t>
      </w:r>
      <w:r w:rsidDel="00000000" w:rsidR="00000000" w:rsidRPr="00000000">
        <w:rPr>
          <w:rtl w:val="0"/>
        </w:rPr>
        <w:t xml:space="preserve">, Direct-to-Chip entre </w:t>
      </w:r>
      <w:r w:rsidDel="00000000" w:rsidR="00000000" w:rsidRPr="00000000">
        <w:rPr>
          <w:b w:val="1"/>
          <w:bCs w:val="1"/>
          <w:rtl w:val="0"/>
        </w:rPr>
        <w:t xml:space="preserve">1.15 y 1.30</w:t>
      </w:r>
      <w:r w:rsidDel="00000000" w:rsidR="00000000" w:rsidRPr="00000000">
        <w:rPr>
          <w:rtl w:val="0"/>
        </w:rPr>
        <w:t xml:space="preserve">, Inmersión monofásica (Single-Phase) baja a </w:t>
      </w:r>
      <w:r w:rsidDel="00000000" w:rsidR="00000000" w:rsidRPr="00000000">
        <w:rPr>
          <w:b w:val="1"/>
          <w:bCs w:val="1"/>
          <w:rtl w:val="0"/>
        </w:rPr>
        <w:t xml:space="preserve">1.03 - 1.08</w:t>
      </w:r>
      <w:r w:rsidDel="00000000" w:rsidR="00000000" w:rsidRPr="00000000">
        <w:rPr>
          <w:rtl w:val="0"/>
        </w:rPr>
        <w:t xml:space="preserve"> (o 1.05 - 1.15), e inmersión bifásica a </w:t>
      </w:r>
      <w:r w:rsidDel="00000000" w:rsidR="00000000" w:rsidRPr="00000000">
        <w:rPr>
          <w:b w:val="1"/>
          <w:bCs w:val="1"/>
          <w:rtl w:val="0"/>
        </w:rPr>
        <w:t xml:space="preserve">1.02 - 1.08</w:t>
      </w:r>
      <w:r w:rsidDel="00000000" w:rsidR="00000000" w:rsidRPr="00000000">
        <w:rPr>
          <w:rtl w:val="0"/>
        </w:rPr>
        <w:t xml:space="preserve"> 6, 7. El modelo Híbrido se estabiliza alrededor de </w:t>
      </w:r>
      <w:r w:rsidDel="00000000" w:rsidR="00000000" w:rsidRPr="00000000">
        <w:rPr>
          <w:b w:val="1"/>
          <w:bCs w:val="1"/>
          <w:rtl w:val="0"/>
        </w:rPr>
        <w:t xml:space="preserve">1.34 - 1.35</w:t>
      </w:r>
      <w:r w:rsidDel="00000000" w:rsidR="00000000" w:rsidRPr="00000000">
        <w:rPr>
          <w:rtl w:val="0"/>
        </w:rPr>
        <w:t xml:space="preserve"> 6.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CAPEX_MW_USD:</w:t>
      </w:r>
      <w:r w:rsidDel="00000000" w:rsidR="00000000" w:rsidRPr="00000000">
        <w:rPr>
          <w:rtl w:val="0"/>
        </w:rPr>
        <w:t xml:space="preserve"> Debido a que el gasto de capital varía drásticamente, se utilizaron los modelos financieros de TCO basados en una instalación de 5 MW: </w:t>
      </w:r>
      <w:r w:rsidDel="00000000" w:rsidR="00000000" w:rsidRPr="00000000">
        <w:rPr>
          <w:b w:val="1"/>
          <w:bCs w:val="1"/>
          <w:rtl w:val="0"/>
        </w:rPr>
        <w:t xml:space="preserve">~$4.74M/MW</w:t>
      </w:r>
      <w:r w:rsidDel="00000000" w:rsidR="00000000" w:rsidRPr="00000000">
        <w:rPr>
          <w:rtl w:val="0"/>
        </w:rPr>
        <w:t xml:space="preserve"> para Single-Phase Immersion, </w:t>
      </w:r>
      <w:r w:rsidDel="00000000" w:rsidR="00000000" w:rsidRPr="00000000">
        <w:rPr>
          <w:b w:val="1"/>
          <w:bCs w:val="1"/>
          <w:rtl w:val="0"/>
        </w:rPr>
        <w:t xml:space="preserve">~$5.74M/MW</w:t>
      </w:r>
      <w:r w:rsidDel="00000000" w:rsidR="00000000" w:rsidRPr="00000000">
        <w:rPr>
          <w:rtl w:val="0"/>
        </w:rPr>
        <w:t xml:space="preserve"> para Air-Cooled RDHx, y </w:t>
      </w:r>
      <w:r w:rsidDel="00000000" w:rsidR="00000000" w:rsidRPr="00000000">
        <w:rPr>
          <w:b w:val="1"/>
          <w:bCs w:val="1"/>
          <w:rtl w:val="0"/>
        </w:rPr>
        <w:t xml:space="preserve">~$5.88M/MW</w:t>
      </w:r>
      <w:r w:rsidDel="00000000" w:rsidR="00000000" w:rsidRPr="00000000">
        <w:rPr>
          <w:rtl w:val="0"/>
        </w:rPr>
        <w:t xml:space="preserve"> para Direct-to-Chip 8, 9. Para instalaciones menos optimizadas o de aire tradicional, la industria promedia entre </w:t>
      </w:r>
      <w:r w:rsidDel="00000000" w:rsidR="00000000" w:rsidRPr="00000000">
        <w:rPr>
          <w:b w:val="1"/>
          <w:bCs w:val="1"/>
          <w:rtl w:val="0"/>
        </w:rPr>
        <w:t xml:space="preserve">$10M y $20M por MW</w:t>
      </w:r>
      <w:r w:rsidDel="00000000" w:rsidR="00000000" w:rsidRPr="00000000">
        <w:rPr>
          <w:rtl w:val="0"/>
        </w:rPr>
        <w:t xml:space="preserve"> 8, 10. La inmersión bifásica ("Two-Phase") reporta un CAPEX más alto (promediado a </w:t>
      </w:r>
      <w:r w:rsidDel="00000000" w:rsidR="00000000" w:rsidRPr="00000000">
        <w:rPr>
          <w:b w:val="1"/>
          <w:bCs w:val="1"/>
          <w:rtl w:val="0"/>
        </w:rPr>
        <w:t xml:space="preserve">~$15M/MW</w:t>
      </w:r>
      <w:r w:rsidDel="00000000" w:rsidR="00000000" w:rsidRPr="00000000">
        <w:rPr>
          <w:rtl w:val="0"/>
        </w:rPr>
        <w:t xml:space="preserve">) debido a la complejidad del sistema y fluidos costosos 10, 11.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