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Artificial Intelligence for Diabetic Retinopathy Screening in Rural India: A Comprehensive Analysis and Technical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Teleophthalmology Imperative in Rural India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Diabetic Retinopathy (DR) represents one of the most critical microvascular complications of diabetes mellitus and remains a leading cause of preventable, irreversible blindness globally. The epidemiological landscape in India presents a profound public health challenge. With over 77 million diabetic adults, India currently harbors the second-highest diabetic population in the world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Approximately 18% of this demographic is affected by DR, a progressive disease that advances from asymptomatic, sub-clinical microvascular changes to severe, vision-threatening stages such as proliferative diabetic retinopathy (PDR), characterized by fragile neovascularization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Clinical evidence indicates that early screening and timely intervention can prevent up to 90% of DR-related vision loss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structural realities of the Indian healthcare system severely constrain mass screening initiatives. Rural populations, such as those residing in Kothe Sher Jang in the state of Punjab, face extreme geographical, economic, and infrastructural barriers to specialist care. India possesses roughly one ophthalmologist per 100,000 rural residents, rendering traditional manual fundus screening by specialists mathematically and logistically infeasible at a population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national digital health frameworks, most notably the eSanjeevani platform, have emerged to facilitate teleophthalmology by bridging primary care centers—such as Ayushman Arogya Mandirs—with tertiary specialists via a decentralized hub-and-spoke model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portable, non-mydriatic fundus cameras have successfully decentralized image acquisition, the primary diagnostic bottleneck has simply shifted from image capture to image interpretation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Artificial Intelligence (AI) and Deep Learning (DL) offer a theoretical solution to this bottleneck. Yet, deploying AI in rural Indian field conditions reveals significant limitations in existing commercial and academic systems: high rates of ungradeable images due to poor capture quality, a lack of rigorous uncertainty calibration leading to false positives, and a "black-box" architectural nature that breeds mistrust among clinical end-users.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Smart India Hackathon 2026 problem statement (PS ID 26038), an integrated, explainable, and rigorously simulated pipeline utilizing MATLAB and Simulink is required. This report exhaustively reviews the current state of the art, analyzes relevant datasets and evaluation metrics, and proposes a comprehensive technological blueprint. The objective is to design a system capable of achieving sub-pixel lesion detection, highly calibrated severity grading, and scalable clinical workflows optimized via discrete-event simulation for districts serving over 100,000 patients annually.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Current State of the Art and Major Existing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analysis of retinal fundus images has undergone a paradigm shift, transitioning from classical computer vision techniques relying on handcrafted feature extraction to highly parameterized deep learning architectures. The current state of the art is characterized by foundational vision models, advanced convolutional neural networks (CNNs), and integrated teleophthalmology hardware ecosystems.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Major Existing Hardware and Software Ecosystems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rural India, the physical hardware utilized for image acquisition dictates the subsequent software processing requirements. Traditional table-top mydriatic cameras necessitate pharmacological pupillary dilation (mydriasis), which is time-consuming, uncomfortable for the patient, and requires skilled technicians. The standard of care in rural outreach has thus pivoted to portable, battery-operated, non-mydriatic cameras.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 Device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Manufacturer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Utility in Rural India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Remidio FOP NM-10 / InstaZ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Remidio Innovative Solutions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Field of View (FOV), captures through 2.6 mm pupils, offline edge AI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portable, non-mydriatic. The Medios HI AI 3-in-1 system allows offline, on-device screening for DR, glaucoma, and AMD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3nethra 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Forus 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MP CMOS sensor, 40° FOV, Wi-Fi connectivity, handheld lightweight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with FH TeleCare for remote diagnosis; ideal for mobile clinics and outreach camps due to rugged portability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eSanjeevani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Ministry of Health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Cloud-based, Electronic Health Record (EHR) compliant, ABHA ID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world's largest telemedicine network. Facilitates Provider-to-Provider (HWC) and Patient-to-Provider teleconsultations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portable devices with edge-based AI models has demonstrated immense potential. For example, the Medios AI algorithm integrated into Remidio devices has reported extraordinary sensitivities in prospective validations, operating entirely offline without requiring high-bandwidth internet—a crucial feature for areas like Kothe Sher Jang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Similarly, PGIMER Chandigarh’s e-Diabetes Connect program successfully pioneered a teleconsultation model in rural Punjab, linking local health workers identifying diabetic patients with tertiary endocrinologists and ophthalmologists via the eSanjeevani platform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Learning Paradigms in Retinal Analysis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algorithmic state of the art for DR classification has evolved from early architectures like VGG-16 and AlexNet to highly efficient networks such as EfficientNet, DenseNet, and ResNet-101. These models utilize transfer learning from massive general-purpose datasets (like ImageNet) to extract hierarchical features from the retina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recently, foundational Vision Transformers (ViTs), such as DINOv3, have established new benchmarks. By leveraging self-attention mechanisms rather than localized convolutional kernels, ViTs can capture long-range contextual dependencies across the retina, achieving robust feature representation. In controlled retrospective studies, DINOv3 models pretrained at scale have achieved a quadratic weighted kappa of 0.863 for five-class DR grading, representing the absolute forefront of classification capability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these massive models often suffer from poor uncertainty calibration and require immense computational resources, rendering them difficult to deploy on the resource-constrained edge devices common in rural healthcare centers.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Image Quality Assessment (IQA) and Adaptive Enhancement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controlled clinical environments to rural field conditions introduces severe image degradation. Fundus images captured by minimally trained Accredited Social Health Activists (ASHA) or rural opticians often suffer from uneven illumination, motion blur, crescent shadows, and restricted fields of view due to small, undilated pupils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Deep learning models trained on pristine, well-illuminated datasets exhibit catastrophic performance degradation when exposed to these real-world artifacts, a phenomenon known as domain shift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Automated Adequacy Evaluation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screening pipeline must feature a frontline Image Quality Assessment (IQA) module. Utilizing a multi-task deep neural network, this module evaluates incoming fundus images for structural adequacy, focus, and illumination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system must triage images into three distinct categories: "Good," "Borderline," and "Ungradeable." Ungradeable images must trigger immediate, automated recapture feedback to the hardware operator, preventing the submission of non-diagnostic data to the cloud or the inference engine.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Contrast Limited Adaptive Histogram Equalization (CLAHE)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images deemed "Borderline," dynamic software enhancement is mandatory. The clinical gold standard for non-linear, localized contrast correction in retinal imaging is Contrast Limited Adaptive Histogram Equalization (CLAHE). Unlike global histogram equalization, which can over-amplify noise and distort clinical features, CLAHE operates on localized data regions (tiles)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proposed MATLAB-based pipeline, the adapthisteq function from the Image Processing Toolbox performs this operation efficiently. To preserve the critical chromatic information necessary for identifying red lesions (hemorrhages) and yellow lesions (exudates), the RGB fundus image is first converted to the CIELAB or HSV color space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CLAHE algorithm is subsequently applied exclusively to the luminosity channel. The clipLimit parameter (typically set around 0.02) restricts the maximum contrast enhancement within any single tile, suppressing the amplification of background noise or digital sensor artifacts. The enhanced luminosity channel is then recombined with the original chromatic channels and converted back to RGB, yielding an image with normalized illumination and enhanced vascular contrast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Retinal Structure and Pathological Lesion Segmentation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anatomical foundation of a reliable, explainable DR screening system relies on the precise, pixel-level, and sub-pixel localization of specific retinal structures. The spatial distribution of pathological lesions relative to the macula (fovea) and optic disc directly dictates the clinical severity grade under the standard Early Treatment Diabetic Retinopathy Study (ETDRS) 4-2-1 rule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Anatomical Landmark Localization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of the optic disc and fovea is a prerequisite for establishing a clinical coordinate system. Deep learning models, specifically variations of the U-Net architecture and Feature Pyramid Networks (FPN), have demonstrated exceptional accuracy in this domain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establishing a fovea-centered Cartesian plane—a process known as Topological Latent Partitioning—the AI system can dynamically map retinal features to specific quadrants, exactly mimicking the visual search pattern of a trained ophthalmologist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Retinal vessel segmentation is frequently achieved using attention-gated U-Nets, which preserve the intricate, highly branched vascular geometry against the background fundus.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Lesion Pathology and Detection Challenges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pathogenesis of DR manifests through a specific sequence of lesions. The detection of these lesions dictates the grading severity:</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Microaneurysms (MAs):</w:t>
      </w:r>
      <w:r w:rsidDel="00000000" w:rsidR="00000000" w:rsidRPr="00000000">
        <w:rPr>
          <w:rFonts w:ascii="Google Sans" w:cs="Google Sans" w:eastAsia="Google Sans" w:hAnsi="Google Sans"/>
          <w:color w:val="1f1f1f"/>
          <w:rtl w:val="0"/>
        </w:rPr>
        <w:t xml:space="preserve"> The earliest clinically observable signs of DR, appearing as deep-red dots ranging from 10 to 100 micrometers in diameter, representing localized capillary dilations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Hemorrhages:</w:t>
      </w:r>
      <w:r w:rsidDel="00000000" w:rsidR="00000000" w:rsidRPr="00000000">
        <w:rPr>
          <w:rFonts w:ascii="Google Sans" w:cs="Google Sans" w:eastAsia="Google Sans" w:hAnsi="Google Sans"/>
          <w:color w:val="1f1f1f"/>
          <w:rtl w:val="0"/>
        </w:rPr>
        <w:t xml:space="preserve"> Occur when weakened capillaries rupture, leaking blood into the retinal layers. They appear as larger red spots or flame-shaped streaks.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 Exudates (HE):</w:t>
      </w:r>
      <w:r w:rsidDel="00000000" w:rsidR="00000000" w:rsidRPr="00000000">
        <w:rPr>
          <w:rFonts w:ascii="Google Sans" w:cs="Google Sans" w:eastAsia="Google Sans" w:hAnsi="Google Sans"/>
          <w:color w:val="1f1f1f"/>
          <w:rtl w:val="0"/>
        </w:rPr>
        <w:t xml:space="preserve"> Yellow, lipid-rich deposits resulting from the breakdown of the blood-retinal barrier, typically characterized by sharp, distinct margins.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 Exudates (Cotton Wool Spots):</w:t>
      </w:r>
      <w:r w:rsidDel="00000000" w:rsidR="00000000" w:rsidRPr="00000000">
        <w:rPr>
          <w:rFonts w:ascii="Google Sans" w:cs="Google Sans" w:eastAsia="Google Sans" w:hAnsi="Google Sans"/>
          <w:color w:val="1f1f1f"/>
          <w:rtl w:val="0"/>
        </w:rPr>
        <w:t xml:space="preserve"> Fluffy white patches indicating localized retinal ischemia and nerve fiber layer infarction.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Neovascularization (NV):</w:t>
      </w:r>
      <w:r w:rsidDel="00000000" w:rsidR="00000000" w:rsidRPr="00000000">
        <w:rPr>
          <w:rFonts w:ascii="Google Sans" w:cs="Google Sans" w:eastAsia="Google Sans" w:hAnsi="Google Sans"/>
          <w:color w:val="1f1f1f"/>
          <w:rtl w:val="0"/>
        </w:rPr>
        <w:t xml:space="preserve"> The hallmark of Proliferative DR (Level 4), where severe ischemia triggers the growth of fragile, abnormal new blood vessels that easily hemorrhage into the vitreous humor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Sub-Pixel Microaneurysm Detection Techniques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Microaneurysms pose the most significant computer vision challenge. In standard 512x512 downsampled input tensors utilized by canonical Convolutional Neural Networks (CNNs), an MA may occupy less than a single pixel. Standard spatial pooling operations (e.g., max-pooling) inherently destroy these high-frequency pathological markers, rendering them imperceptible to the deeper classification layers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Detecting these sub-pixel anomalies requires highly specialized, dual-pronged approaches: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Hessian Matrix Eigenvalue Analysis:</w:t>
      </w:r>
      <w:r w:rsidDel="00000000" w:rsidR="00000000" w:rsidRPr="00000000">
        <w:rPr>
          <w:rFonts w:ascii="Google Sans" w:cs="Google Sans" w:eastAsia="Google Sans" w:hAnsi="Google Sans"/>
          <w:color w:val="1f1f1f"/>
          <w:rtl w:val="0"/>
        </w:rPr>
        <w:t xml:space="preserve"> Traditional but mathematically rigorous morphological techniques apply a Gaussian scale-space framework to the green channel of the fundus image, where red lesions present the highest contrast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computing the spatial second-order derivatives to form the Hessian matrix at each pixel, and subsequently analyzing its eigenvalues, algorithms can mathematically distinguish isotropic structures (blob-like MAs) from anisotropic structures (tubular blood vessels). This allows for the isolation of MAs with sub-pixel precision prior to any destructive neural network downsampling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Sub-Pixel Convolution and Super-Resolution (SISR):</w:t>
      </w:r>
      <w:r w:rsidDel="00000000" w:rsidR="00000000" w:rsidRPr="00000000">
        <w:rPr>
          <w:rFonts w:ascii="Google Sans" w:cs="Google Sans" w:eastAsia="Google Sans" w:hAnsi="Google Sans"/>
          <w:color w:val="1f1f1f"/>
          <w:rtl w:val="0"/>
        </w:rPr>
        <w:t xml:space="preserve"> Modern deep learning pipelines leverage Single Image Super-Resolution networks embedded with Sub-Pixel Convolutional layers, such as the PixelShuffle operation. This architectural choice upscales intermediate feature maps in the channel dimension rather than the spatial dimension, allowing the network to maintain a broad receptive field while preserving the high-frequency spatial details required to isolate microaneurysms and subtle neovascularization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integrating a U-Net backbone with a PixelShuffle upsampling path, the proposed system can achieve high-fidelity lesion segmentation without the prohibitive computational costs of processing raw 4K images on edge hardware.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Automated DR Severity Grading and Evaluation Metrics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grading algorithms categorize the retina according to the International Clinical Diabetic Retinopathy (ICDR) severity scale: Level 0 (No DR), Level 1 (Mild NPDR), Level 2 (Moderate NPDR), Level 3 (Severe NPDR), and Level 4 (Proliferative DR). For mass rural screening programs, the critical clinical threshold is the binary detection of "Referable DR," defined as Level 2 or worse, including the presence of Diabetic Macular Edema (DME)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Fallacy of Accuracy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research frequently reports classification accuracies exceeding 95%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relying solely on accuracy as an evaluation metric in medical screening is a fundamental statistical fallacy due to severe class imbalance. In a standard population screening, healthy retinas (Level 0) and mild cases (Level 1) vastly outnumber severe cases (Levels 3 and 4)</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Consequently, a naive model that unilaterally predicts "No DR" for every patient might achieve an 80% baseline accuracy while failing entirely as a diagnostic tool, resulting in catastrophic false negatives and preventable blindness.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Comprehensive Evaluation Methodology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clinical viability, the screening system must be evaluated across a spectrum of robust metrics.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Significance in DR Screening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Benchmark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Sensitivity (Recall)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proportion of actual Referable DR cases correctly identified. High sensitivity minimizes false negatives, preventing undetected vision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90%</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proportion of healthy cases correctly identified. High specificity minimizes false positives, preventing the overburdening of rural referral hubs.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85%</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harmonic mean of precision and sensitivity. Provides a balanced measure of performance in the presence of severe class imbalance.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0.85</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Area Under the ROC Curve (AUC)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the model's ability to discriminate between Referable and Non-Referable DR across all classification thresholds.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0.95</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Quadratic Weighted Kappa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the inter-rater agreement between the AI and human experts, penalizing predictions heavily if they are further from the true grade.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0.85</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 the hackathon targets of &gt;90% sensitivity and &gt;85% specificity requires the deployment of focal cross-entropy loss during network training. As implemented in the MATLAB Deep Learning Toolbox, focal loss handles class imbalance dynamically by down-weighting the loss contribution from easily classified healthy samples, forcing the network to focus on the difficult, rare pathological grades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Explainable AI (XAI) and Human-in-the-Loop Trust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intrinsic "black-box" nature of highly parameterized deep learning models represents the primary barrier to clinical adoption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a hub-and-spoke teleophthalmology model, a tertiary ophthalmologist reviewing a queue of cases must validate the AI's triage decision rapidly to maintain high-throughput capacity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Raw probability scores do not provide actionable clinical insights. Explainable AI (XAI) bridges this cognitive gap by rendering the model's internal decision logic visual and interpretable.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Grad-CAM and its Advancements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Gradient-weighted Class Activation Mapping (Grad-CAM) and its advanced variant, Grad-CAM++, are the prevailing post-hoc visualization techniques in medical imaging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Grad-CAM computes the gradient of the classification score for a specific class with respect to the feature maps of the final convolutional layer. These gradients are globally average-pooled to obtain importance weights, which are then linearly combined with the forward activation maps and passed through a ReLU activation function. The result is a spatial heat map highlighting the regions that most strongly influenced the model's prediction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MATLAB's Deep Learning Toolbox, the gradCAM function is engineered to process unformatted dlarray objects, seamlessly generating these attention maps without requiring architectural modifications to the underlying network</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Grad-CAM++ improves upon standard Grad-CAM by capturing higher-order derivatives, enabling it to accurately localize multiple occurrences of a class within a single image. This is a non-negotiable requirement for DR, where a patient may present with dozens of distinct hemorrhages and exudates scattered across the retina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Alternative XAI Modalities: SHAP and LIME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Grad-CAM highlights broad spatial regions, Local Interpretable Model-agnostic Explanations (LIME) and SHapley Additive exPlanations (SHAP) provide alternative modalities of explainability. LIME perturbs superpixels within the image to measure changes in the prediction, offering a highly localized but computationally expensive explanation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SHAP leverages cooperative game theory to assign an exact marginal contribution value to each pixel. However, due to the tight latency constraints of real-world rural screening (where review must occur in under 30 seconds), Grad-CAM++ is overwhelmingly favored. It requires only a single backward pass through the network, ensuring near-instantaneous visualization on edge hardware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Semantic Grounding: Overcoming Explanation Drift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drawback of standard XAI is "explanation drift," where a heat map might highlight an arbitrary background artifact—such as a laser scar or a camera lens flare—that happens to correlate with the disease class in the training data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Clinically meaningful explainability must correlate the network's attention directly with verifiable pathological lesions.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"clinically useful Grad-CAM" target, the proposed system advances beyond simple heat maps by employing semantic grounding. The pipeline calculates the Intersection over Union (IoU) between the Grad-CAM++ high-activation zones and the deterministic lesion masks segmented during the sub-pixel analysis phase. The output report is thus annotated explicitly: "Referable DR Detected (Confidence 92%). Evidence: Network attention correlates with 4 Microaneurysms and 2 Hard Exudates located in the superior temporal quadrant." This structured, lesion-level evidence enables the reviewing ophthalmologist to visually validate the finding in under 15 seconds, drastically reducing cognitive load.</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Confidence Calibration and Uncertainty Estimation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failure mode of contemporary deep neural networks is not simply making incorrect predictions, but making </w:t>
      </w:r>
      <w:r w:rsidDel="00000000" w:rsidR="00000000" w:rsidRPr="00000000">
        <w:rPr>
          <w:rFonts w:ascii="Google Sans" w:cs="Google Sans" w:eastAsia="Google Sans" w:hAnsi="Google Sans"/>
          <w:i w:val="1"/>
          <w:iCs w:val="1"/>
          <w:color w:val="1f1f1f"/>
          <w:rtl w:val="0"/>
        </w:rPr>
        <w:t xml:space="preserve">overconfident</w:t>
      </w:r>
      <w:r w:rsidDel="00000000" w:rsidR="00000000" w:rsidRPr="00000000">
        <w:rPr>
          <w:rFonts w:ascii="Google Sans" w:cs="Google Sans" w:eastAsia="Google Sans" w:hAnsi="Google Sans"/>
          <w:color w:val="1f1f1f"/>
          <w:rtl w:val="0"/>
        </w:rPr>
        <w:t xml:space="preserve"> incorrect predictions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Due to the mathematical nature of the softmax function optimized via cross-entropy loss, DNNs act as maximum margin classifiers, pushing output probabilities toward the extremes of 1.0 or 0.0, even when processing out-of-distribution or highly ambiguous samples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 clinical practice, an AI system must reliably know when it does not know.</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Expected Calibration Error (ECE)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calibration ensures that a predicted probability mathematically matches the true empirical likelihood of the event. If a calibrated model predicts Referable DR with 80% confidence for 100 patients, approximately 80 of those patients should actually possess the disease. The standard metric for assessing this reliability is the Expected Calibration Error (ECE). ECE partitions the model's predictions into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equally spaced bins based on their confidence scores, computing the weighted average of the absolute difference between the empirical accuracy and the average confidence within each bin: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165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10165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Uncalibrated DL models frequently exhibit ECE values above 0.15, rendering their raw probability scores clinically meaningless and dangerous for automated triage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Temperature Scaling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temperature scaling is employed as a highly effective, non-parametric post-hoc calibration method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It involves dividing the pre-softmax logits by a single learned scalar parameter, </w:t>
      </w:r>
      <w:r w:rsidDel="00000000" w:rsidR="00000000" w:rsidRPr="00000000">
        <w:rPr>
          <w:rFonts w:ascii="Google Sans" w:cs="Google Sans" w:eastAsia="Google Sans" w:hAnsi="Google Sans"/>
          <w:color w:val="1f1f1f"/>
        </w:rPr>
        <w:drawing>
          <wp:inline distB="19050" distT="19050" distL="19050" distR="19050">
            <wp:extent cx="141565" cy="25167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1565" cy="251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temperature), before applying the softmax function. Because </w:t>
      </w:r>
      <w:r w:rsidDel="00000000" w:rsidR="00000000" w:rsidRPr="00000000">
        <w:rPr>
          <w:rFonts w:ascii="Google Sans" w:cs="Google Sans" w:eastAsia="Google Sans" w:hAnsi="Google Sans"/>
          <w:color w:val="1f1f1f"/>
        </w:rPr>
        <w:drawing>
          <wp:inline distB="19050" distT="19050" distL="19050" distR="19050">
            <wp:extent cx="141565" cy="251672"/>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1565" cy="251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applied uniformly across all classes, it "softens" the probability distribution without altering the maximum logit, thereby preserving the original classification accuracy while significantly lowering the ECE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Studies applying temperature scaling to DR classification networks have demonstrated dramatic reductions in ECE, bringing values down from 0.52 to an impressive 0.019</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Managing Epistemic and Aleatoric Uncertainty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rural teleophthalmology, distinct types of uncertainty must be managed. Aleatoric uncertainty arises from inherent noise in the image, such as a severe cataract obscuring the macula. Epistemic uncertainty arises from a lack of knowledge, such as the model encountering an extremely rare pathology not represented in the training data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By utilizing calibrated confidence scores, coupled with techniques like Test-Time Augmentation (TTAUG) to measure prediction variance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system establishes a safety net. Any image yielding a calibrated confidence score below a predefined threshold (e.g., 85%) is automatically routed to an expert ophthalmologist, overriding the automated triage decision and ensuring a robust human-in-the-loop fail-safe.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Datasets and Benchmarking Ecosystems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generalization, and calibration of the proposed DR screening system rely entirely on the quality, diversity, and annotation granularity of the underlying training data. AI models trained on a single demographic or a single camera modality invariably fail to generalize. Consequently, leveraging a federated combination of datasets is required to achieve the proposed hackathon targets.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Dataset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Images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Resolution &amp; Modality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Annotation Granularity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Relevance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EyePACS (Kaggle)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35,126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(Low to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Image-level Grading (0-4)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diverse, features significant clinical noise and heavy class imbalance. Essential for initial robustness training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Messidor-2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1440x960 to 2240x1488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Image-level Grading (0-4), Macular Edema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 clinically rigorous ground truth and is highly standardized. Represents the gold standard for external validation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APTOS 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Image-level Grading (0-4)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Contains high variance in illumination and artifacts, simulating field conditions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4288x2848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Pixel-level Lesions, Optic Disc, Grading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Indian Demographic.</w:t>
            </w:r>
            <w:r w:rsidDel="00000000" w:rsidR="00000000" w:rsidRPr="00000000">
              <w:rPr>
                <w:rFonts w:ascii="Google Sans" w:cs="Google Sans" w:eastAsia="Google Sans" w:hAnsi="Google Sans"/>
                <w:color w:val="1f1f1f"/>
                <w:rtl w:val="0"/>
              </w:rPr>
              <w:t xml:space="preserve"> Contains precise pixel-level masks for MAs, exudates, and hemorrhages. Essential for sub-pixel detection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FGADR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Fine-Grained, Pixel-level Lesions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High-quality lesion annotations. Ideal for training explainable models and bounding-box regressors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DeepDR (DeepDRiD)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 &amp; Ultra-widefield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Quality, Grading (0-4)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Includes specific annotations for image quality (IQA). Highly relevant for training the rejection pipeline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DDR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13,673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Grading, Lesion Segmentation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scale dataset useful for multi-task learning paradigms (joint classification and segmentation)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trained exclusively on Western datasets (like EyePACS) frequently suffer performance degradation when applied to Indian demographics due to variations in fundamental fundus pigmentation and the phenotypic manifestation of genetic diseases. Incorporating datasets like IDRiD, collected specifically in an Indian clinical context, is critical for minimizing racial and ethnic dataset bias, ensuring equitable diagnostic performance across rural populations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Critical Evaluation of Problem Statement Targets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hackathon problem statement establishes stringent performance and operational benchmarks. An evidence-based evaluation of their realism, based on the current literature, is as follows: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&gt;90% Sensitivity and &gt;85% Specificity for Referable DR (Level 2+).</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Evaluation:</w:t>
      </w:r>
      <w:r w:rsidDel="00000000" w:rsidR="00000000" w:rsidRPr="00000000">
        <w:rPr>
          <w:rFonts w:ascii="Google Sans" w:cs="Google Sans" w:eastAsia="Google Sans" w:hAnsi="Google Sans"/>
          <w:color w:val="1f1f1f"/>
          <w:rtl w:val="0"/>
        </w:rPr>
        <w:t xml:space="preserve"> Highly realistic. Recent challenge frameworks (e.g., DeepDRiD) report pooled sensitivities of 92-96% and specificities exceeding 90% for referable DR when utilizing ensemble CNNs or Vision Transformers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engineering challenge lies not in achieving these metrics on curated test sets, but in sustaining them across uncurated, noisy images from rural field operations.</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Clinically Useful Grad-CAM Explanations.</w:t>
      </w:r>
    </w:p>
    <w:p w:rsidR="00000000" w:rsidDel="00000000" w:rsidP="00000000" w:rsidRDefault="00000000" w:rsidRPr="00000000" w14:paraId="00000095">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Evaluation:</w:t>
      </w:r>
      <w:r w:rsidDel="00000000" w:rsidR="00000000" w:rsidRPr="00000000">
        <w:rPr>
          <w:rFonts w:ascii="Google Sans" w:cs="Google Sans" w:eastAsia="Google Sans" w:hAnsi="Google Sans"/>
          <w:color w:val="1f1f1f"/>
          <w:rtl w:val="0"/>
        </w:rPr>
        <w:t xml:space="preserve"> Realistic, provided Grad-CAM++ is utilized and semantically correlated with explicit lesion segmentations. Standard Grad-CAM often yields diffuse, unhelpful heatmaps that fail to build clinical trust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&lt;30-second Ophthalmologist Review.</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Evaluation:</w:t>
      </w:r>
      <w:r w:rsidDel="00000000" w:rsidR="00000000" w:rsidRPr="00000000">
        <w:rPr>
          <w:rFonts w:ascii="Google Sans" w:cs="Google Sans" w:eastAsia="Google Sans" w:hAnsi="Google Sans"/>
          <w:color w:val="1f1f1f"/>
          <w:rtl w:val="0"/>
        </w:rPr>
        <w:t xml:space="preserve"> Attainable. Current silent deployment studies of AI triage note median algorithmic inference times of approximately 1.1 seconds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providing the physician with a pre-analyzed image overlay featuring bounding boxes and Grad-CAM++ maps, the diagnostic cognitive load is drastically reduced, easily enabling human validation within 10–20 seconds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Sub-pixel Microaneurysm Detection.</w:t>
      </w:r>
    </w:p>
    <w:p w:rsidR="00000000" w:rsidDel="00000000" w:rsidP="00000000" w:rsidRDefault="00000000" w:rsidRPr="00000000" w14:paraId="0000009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Evaluation:</w:t>
      </w:r>
      <w:r w:rsidDel="00000000" w:rsidR="00000000" w:rsidRPr="00000000">
        <w:rPr>
          <w:rFonts w:ascii="Google Sans" w:cs="Google Sans" w:eastAsia="Google Sans" w:hAnsi="Google Sans"/>
          <w:color w:val="1f1f1f"/>
          <w:rtl w:val="0"/>
        </w:rPr>
        <w:t xml:space="preserve"> Technically demanding but entirely feasible. It requires abandoning standard destructive downsampling in favor of advanced techniques like sub-pixel convolutions (PixelShuffle) and mathematical morphological operators (Hessian matrix eigenvalue analysis) to detect sub-pixel anomalies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Simulink Workflow Optimization for 100,000+ Annual Screenings.</w:t>
      </w:r>
    </w:p>
    <w:p w:rsidR="00000000" w:rsidDel="00000000" w:rsidP="00000000" w:rsidRDefault="00000000" w:rsidRPr="00000000" w14:paraId="0000009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Evaluation:</w:t>
      </w:r>
      <w:r w:rsidDel="00000000" w:rsidR="00000000" w:rsidRPr="00000000">
        <w:rPr>
          <w:rFonts w:ascii="Google Sans" w:cs="Google Sans" w:eastAsia="Google Sans" w:hAnsi="Google Sans"/>
          <w:color w:val="1f1f1f"/>
          <w:rtl w:val="0"/>
        </w:rPr>
        <w:t xml:space="preserve"> Logistically complex but solvable. Processing 100,000 patients requires robust queue management, optimization of telecommunication bandwidth (image compression without pathological loss), and adequate staffing at the tertiary hub. This necessitates rigorous discrete-event simulation via SimEvents to prevent systemic bottlenecks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Recommended Technical Approach: The MATLAB and Simulink Blueprint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comprehensively address the limitations of existing systems, overcome India-specific rural deployment gaps, and fulfill the PS 26038 requirements, a hybrid architecture leveraging MATLAB for image processing and deep learning, paired with Simulink for workflow optimization, is proposed.</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MATLAB-Based Retinal Analysis Pipeline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diagnostic pipeline, developed utilizing the MATLAB Image Processing, Computer Vision, and Deep Learning Toolboxes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comprises four sequential, modular stages: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1: IQA and Adaptive Enhancement (The Rejection Module)</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Assessment:</w:t>
      </w:r>
      <w:r w:rsidDel="00000000" w:rsidR="00000000" w:rsidRPr="00000000">
        <w:rPr>
          <w:rFonts w:ascii="Google Sans" w:cs="Google Sans" w:eastAsia="Google Sans" w:hAnsi="Google Sans"/>
          <w:color w:val="1f1f1f"/>
          <w:rtl w:val="0"/>
        </w:rPr>
        <w:t xml:space="preserve"> A lightweight CNN evaluates the raw fundus image for structural adequacy, focus, and illumination. Images scoring below a predefined structural similarity threshold are immediately rejected, triggering a hardware-level recapture prompt to the rural operator.</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w:t>
      </w:r>
      <w:r w:rsidDel="00000000" w:rsidR="00000000" w:rsidRPr="00000000">
        <w:rPr>
          <w:rFonts w:ascii="Google Sans" w:cs="Google Sans" w:eastAsia="Google Sans" w:hAnsi="Google Sans"/>
          <w:color w:val="1f1f1f"/>
          <w:rtl w:val="0"/>
        </w:rPr>
        <w:t xml:space="preserve"> For borderline images, MATLAB’s adapthisteq is applied to the luminosity channel in the CIELAB color space. This dynamically limits contrast over-amplification (using a clip limit of 0.02) while successfully illuminating darkened peripheral regions common in non-mydriatic captures, preserving the critical color ratios of the lesions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2: Morphological and Sub-Pixel Segmentation</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Anatomical Extraction:</w:t>
      </w:r>
      <w:r w:rsidDel="00000000" w:rsidR="00000000" w:rsidRPr="00000000">
        <w:rPr>
          <w:rFonts w:ascii="Google Sans" w:cs="Google Sans" w:eastAsia="Google Sans" w:hAnsi="Google Sans"/>
          <w:color w:val="1f1f1f"/>
          <w:rtl w:val="0"/>
        </w:rPr>
        <w:t xml:space="preserve"> An attention-gated U-Net architecture isolates the optic disc and fovea to establish a coordinate system (Topological Latent Partitioning), determining the exact proximity of lesions to the macula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Sub-Pixel MA Detection:</w:t>
      </w:r>
      <w:r w:rsidDel="00000000" w:rsidR="00000000" w:rsidRPr="00000000">
        <w:rPr>
          <w:rFonts w:ascii="Google Sans" w:cs="Google Sans" w:eastAsia="Google Sans" w:hAnsi="Google Sans"/>
          <w:color w:val="1f1f1f"/>
          <w:rtl w:val="0"/>
        </w:rPr>
        <w:t xml:space="preserve"> The pipeline applies a multiscale morphological Hessian filter to the green channel. Eigenvalue analysis calculates the probability of blob-like structures at the sub-pixel level, effectively isolating microaneurysms that standard CNNs blur out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is augmented by a PixelShuffle sub-pixel convolutional pathway to preserve high-frequency details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3: Uncertainty-Aware DR Grading</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A ResNet-101 backbone extracts deep features, classifying the image into the 5-tier ICDR scale. The network is trained using focal cross-entropy loss via the trainnet function to actively combat class imbalance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Calibration:</w:t>
      </w:r>
      <w:r w:rsidDel="00000000" w:rsidR="00000000" w:rsidRPr="00000000">
        <w:rPr>
          <w:rFonts w:ascii="Google Sans" w:cs="Google Sans" w:eastAsia="Google Sans" w:hAnsi="Google Sans"/>
          <w:color w:val="1f1f1f"/>
          <w:rtl w:val="0"/>
        </w:rPr>
        <w:t xml:space="preserve"> Temperature scaling is applied post-hoc to the softmax logits. The optimal temperature parameter </w:t>
      </w:r>
      <w:r w:rsidDel="00000000" w:rsidR="00000000" w:rsidRPr="00000000">
        <w:rPr>
          <w:rFonts w:ascii="Google Sans" w:cs="Google Sans" w:eastAsia="Google Sans" w:hAnsi="Google Sans"/>
          <w:color w:val="1f1f1f"/>
        </w:rPr>
        <w:drawing>
          <wp:inline distB="19050" distT="19050" distL="19050" distR="19050">
            <wp:extent cx="141565" cy="251672"/>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1565" cy="251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learned on an Indian validation set (IDRiD) by minimizing the Expected Calibration Error (ECE)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the calibrated confidence score falls below 85%, the system flags the image for mandatory human review, managing epistemic uncertainty.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4: Clinically Grounded Explainability</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Using MATLAB’s gradCAM functionality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activation maps are generated for the Referable DR class.</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Semantic Grounding:</w:t>
      </w:r>
      <w:r w:rsidDel="00000000" w:rsidR="00000000" w:rsidRPr="00000000">
        <w:rPr>
          <w:rFonts w:ascii="Google Sans" w:cs="Google Sans" w:eastAsia="Google Sans" w:hAnsi="Google Sans"/>
          <w:color w:val="1f1f1f"/>
          <w:rtl w:val="0"/>
        </w:rPr>
        <w:t xml:space="preserve"> The pipeline calculates the Intersection over Union (IoU) between the Grad-CAM++ hotspots and the lesions segmented in Stage 2. The output generates an automated, annotated report correlating network attention with specific clinical criteria (e.g., hemorrhage count and quadrant location), enabling rapid ophthalmologist validation.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Simulink and SimEvents Workflow Simulation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this advanced AI pipeline can scale to 100,000+ patients in a rural district, the physical and digital logistics must be mathematically optimized. MATLAB’s SimEvents provides a discrete-event simulation framework to accurately model this telemedicine queuing network</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Simulation Architecture:</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Entity Generator:</w:t>
      </w:r>
      <w:r w:rsidDel="00000000" w:rsidR="00000000" w:rsidRPr="00000000">
        <w:rPr>
          <w:rFonts w:ascii="Google Sans" w:cs="Google Sans" w:eastAsia="Google Sans" w:hAnsi="Google Sans"/>
          <w:color w:val="1f1f1f"/>
          <w:rtl w:val="0"/>
        </w:rPr>
        <w:t xml:space="preserve"> Simulates patient arrivals at local Ayushman Arogya Mandirs, utilizing a Poisson distribution to model daily screening volumes (e.g., 300 patients/day).</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Entity Queue (Acquisition):</w:t>
      </w:r>
      <w:r w:rsidDel="00000000" w:rsidR="00000000" w:rsidRPr="00000000">
        <w:rPr>
          <w:rFonts w:ascii="Google Sans" w:cs="Google Sans" w:eastAsia="Google Sans" w:hAnsi="Google Sans"/>
          <w:color w:val="1f1f1f"/>
          <w:rtl w:val="0"/>
        </w:rPr>
        <w:t xml:space="preserve"> Models the physical waiting line and the 15-second acquisition time of the portable fundus camera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Entity Server (Edge AI):</w:t>
      </w:r>
      <w:r w:rsidDel="00000000" w:rsidR="00000000" w:rsidRPr="00000000">
        <w:rPr>
          <w:rFonts w:ascii="Google Sans" w:cs="Google Sans" w:eastAsia="Google Sans" w:hAnsi="Google Sans"/>
          <w:color w:val="1f1f1f"/>
          <w:rtl w:val="0"/>
        </w:rPr>
        <w:t xml:space="preserve"> Models the local processing time of the MATLAB IQA and grading module.</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Resource Pool (Bandwidth):</w:t>
      </w:r>
      <w:r w:rsidDel="00000000" w:rsidR="00000000" w:rsidRPr="00000000">
        <w:rPr>
          <w:rFonts w:ascii="Google Sans" w:cs="Google Sans" w:eastAsia="Google Sans" w:hAnsi="Google Sans"/>
          <w:color w:val="1f1f1f"/>
          <w:rtl w:val="0"/>
        </w:rPr>
        <w:t xml:space="preserve"> Models rural 4G telecommunication constraints. Images flagged with high uncertainty or Referable DR are transmitted to the tertiary hub. The pool dictates transmission latency based on dynamic image compression.</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Entity Queue (Hub Review):</w:t>
      </w:r>
      <w:r w:rsidDel="00000000" w:rsidR="00000000" w:rsidRPr="00000000">
        <w:rPr>
          <w:rFonts w:ascii="Google Sans" w:cs="Google Sans" w:eastAsia="Google Sans" w:hAnsi="Google Sans"/>
          <w:color w:val="1f1f1f"/>
          <w:rtl w:val="0"/>
        </w:rPr>
        <w:t xml:space="preserve"> Models the backlog of cases waiting for specialist review on the eSanjeevani portal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Entity Server (Ophthalmologist):</w:t>
      </w:r>
      <w:r w:rsidDel="00000000" w:rsidR="00000000" w:rsidRPr="00000000">
        <w:rPr>
          <w:rFonts w:ascii="Google Sans" w:cs="Google Sans" w:eastAsia="Google Sans" w:hAnsi="Google Sans"/>
          <w:color w:val="1f1f1f"/>
          <w:rtl w:val="0"/>
        </w:rPr>
        <w:t xml:space="preserve"> Models human review time utilizing a log-normal distribution with a target median of 20 seconds.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Optimization Goal:</w:t>
      </w:r>
      <w:r w:rsidDel="00000000" w:rsidR="00000000" w:rsidRPr="00000000">
        <w:rPr>
          <w:rFonts w:ascii="Google Sans" w:cs="Google Sans" w:eastAsia="Google Sans" w:hAnsi="Google Sans"/>
          <w:color w:val="1f1f1f"/>
          <w:rtl w:val="0"/>
        </w:rPr>
        <w:t xml:space="preserve"> By manipulating variables within the Simulink model—such as the probability threshold for AI autonomy, the number of active edge devices across the district, and the compression ratio of transmitted images—policymakers can mathematically determine the exact number of reviewing ophthalmologists required at the tertiary hub to maintain a queue wait time of under 24 hours for 100,000 annual screenings.</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automated Diabetic Retinopathy screening in rural India transcends traditional computer vision challenges; it requires a socio-technical solution tailored to epidemiological scale, severe hardware constraints, and the absolute necessity of clinical trust. Existing solutions fail in field conditions due to uncalibrated overconfidence, black-box architectures that lack clinical grounding, and the inability to detect sub-pixel early warning signs on low-resolution edge captures.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MATLAB and Simulink-based framework directly addresses these critical research gaps. By combining morphological Hessian analysis for sub-pixel microaneurysm detection, post-hoc temperature scaling for rigorous uncertainty calibration, and semantically grounded Grad-CAM++ visualizations, the pipeline ensures diagnostic rigor that meets the &gt;90% sensitivity and &gt;85% specificity requirements. Furthermore, the integration of SimEvents discrete-event simulation transforms a static algorithmic solution into a scalable, dynamic teleophthalmology blueprint. This holistic, human-in-the-loop approach is uniquely positioned to integrate seamlessly into India's eSanjeevani infrastructure, democratizing high-quality ophthalmic care and ultimately preserving the vision of millions across rural India.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Telemedicine in diabetic retinopathy: Access to rural India - PMC - NIH,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https://pmc.ncbi.nlm.nih.gov/articles/PMC4821127/</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Multi-Model Image Enhancement and Tailored U-Net Architecture,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https://pmc.ncbi.nlm.nih.gov/articles/PMC12468348/</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Tele-Optometry and Mobile Eye Care Units: A Rural Vision Care, </w:t>
      </w:r>
      <w:hyperlink r:id="rId11">
        <w:r w:rsidDel="00000000" w:rsidR="00000000" w:rsidRPr="00000000">
          <w:rPr>
            <w:rFonts w:ascii="Google Sans" w:cs="Google Sans" w:eastAsia="Google Sans" w:hAnsi="Google Sans"/>
            <w:color w:val="0000ee"/>
            <w:sz w:val="24"/>
            <w:szCs w:val="24"/>
            <w:u w:val="single"/>
            <w:rtl w:val="0"/>
          </w:rPr>
          <w:t xml:space="preserve">https://gjmpbu.org/tele-optometry-and-mobile-eye-care-units-a-rural-vision-care-model-for-india/</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eSanjeevani, </w:t>
      </w:r>
      <w:hyperlink r:id="rId12">
        <w:r w:rsidDel="00000000" w:rsidR="00000000" w:rsidRPr="00000000">
          <w:rPr>
            <w:rFonts w:ascii="Google Sans" w:cs="Google Sans" w:eastAsia="Google Sans" w:hAnsi="Google Sans"/>
            <w:color w:val="0000ee"/>
            <w:sz w:val="24"/>
            <w:szCs w:val="24"/>
            <w:u w:val="single"/>
            <w:rtl w:val="0"/>
          </w:rPr>
          <w:t xml:space="preserve">http://esanjeevani.mohfw.gov.in/</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Telemedicine is Revolutionizing Diabetes Care in Rural India, </w:t>
      </w:r>
      <w:hyperlink r:id="rId13">
        <w:r w:rsidDel="00000000" w:rsidR="00000000" w:rsidRPr="00000000">
          <w:rPr>
            <w:rFonts w:ascii="Google Sans" w:cs="Google Sans" w:eastAsia="Google Sans" w:hAnsi="Google Sans"/>
            <w:color w:val="0000ee"/>
            <w:sz w:val="24"/>
            <w:szCs w:val="24"/>
            <w:u w:val="single"/>
            <w:rtl w:val="0"/>
          </w:rPr>
          <w:t xml:space="preserve">https://www.techsciresearch.com/blog/how-telemedicine-is-revolutionizing-diabetes-care-in-rural-india/4677.html</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Smarter, Portable Diabetic Retinopathy Screening - Remidio, </w:t>
      </w:r>
      <w:hyperlink r:id="rId14">
        <w:r w:rsidDel="00000000" w:rsidR="00000000" w:rsidRPr="00000000">
          <w:rPr>
            <w:rFonts w:ascii="Google Sans" w:cs="Google Sans" w:eastAsia="Google Sans" w:hAnsi="Google Sans"/>
            <w:color w:val="0000ee"/>
            <w:sz w:val="24"/>
            <w:szCs w:val="24"/>
            <w:u w:val="single"/>
            <w:rtl w:val="0"/>
          </w:rPr>
          <w:t xml:space="preserve">https://remidio.us/who-we-serve/primary-care-providers/</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3nethra pico - Portable Fundus Camera - Forus Health, </w:t>
      </w:r>
      <w:hyperlink r:id="rId15">
        <w:r w:rsidDel="00000000" w:rsidR="00000000" w:rsidRPr="00000000">
          <w:rPr>
            <w:rFonts w:ascii="Google Sans" w:cs="Google Sans" w:eastAsia="Google Sans" w:hAnsi="Google Sans"/>
            <w:color w:val="0000ee"/>
            <w:sz w:val="24"/>
            <w:szCs w:val="24"/>
            <w:u w:val="single"/>
            <w:rtl w:val="0"/>
          </w:rPr>
          <w:t xml:space="preserve">https://forushealth.com/3nethra-pico/</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MediosHI AI 3-in-1 - DR AI, Glaucoma AI &amp; AMD AI - Remidio, </w:t>
      </w:r>
      <w:hyperlink r:id="rId16">
        <w:r w:rsidDel="00000000" w:rsidR="00000000" w:rsidRPr="00000000">
          <w:rPr>
            <w:rFonts w:ascii="Google Sans" w:cs="Google Sans" w:eastAsia="Google Sans" w:hAnsi="Google Sans"/>
            <w:color w:val="0000ee"/>
            <w:sz w:val="24"/>
            <w:szCs w:val="24"/>
            <w:u w:val="single"/>
            <w:rtl w:val="0"/>
          </w:rPr>
          <w:t xml:space="preserve">https://www.remidio.com/medioshi-ai-3-in-1</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Teleophthalmology: Bridging the gap in eye care access with, </w:t>
      </w:r>
      <w:hyperlink r:id="rId17">
        <w:r w:rsidDel="00000000" w:rsidR="00000000" w:rsidRPr="00000000">
          <w:rPr>
            <w:rFonts w:ascii="Google Sans" w:cs="Google Sans" w:eastAsia="Google Sans" w:hAnsi="Google Sans"/>
            <w:color w:val="0000ee"/>
            <w:sz w:val="24"/>
            <w:szCs w:val="24"/>
            <w:u w:val="single"/>
            <w:rtl w:val="0"/>
          </w:rPr>
          <w:t xml:space="preserve">https://www.expresshealthcare.in/news/teleophthalmology-bridging-the-gap-in-eye-care-access-with-integrated-software/441552/</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Remidio | AI-Powered Retinal Imaging &amp; Oculomics Solutions, </w:t>
      </w:r>
      <w:hyperlink r:id="rId18">
        <w:r w:rsidDel="00000000" w:rsidR="00000000" w:rsidRPr="00000000">
          <w:rPr>
            <w:rFonts w:ascii="Google Sans" w:cs="Google Sans" w:eastAsia="Google Sans" w:hAnsi="Google Sans"/>
            <w:color w:val="0000ee"/>
            <w:sz w:val="24"/>
            <w:szCs w:val="24"/>
            <w:u w:val="single"/>
            <w:rtl w:val="0"/>
          </w:rPr>
          <w:t xml:space="preserve">https://www.remidio.com/</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Remidio InstaZ - Automated fundus camera, </w:t>
      </w:r>
      <w:hyperlink r:id="rId19">
        <w:r w:rsidDel="00000000" w:rsidR="00000000" w:rsidRPr="00000000">
          <w:rPr>
            <w:rFonts w:ascii="Google Sans" w:cs="Google Sans" w:eastAsia="Google Sans" w:hAnsi="Google Sans"/>
            <w:color w:val="0000ee"/>
            <w:sz w:val="24"/>
            <w:szCs w:val="24"/>
            <w:u w:val="single"/>
            <w:rtl w:val="0"/>
          </w:rPr>
          <w:t xml:space="preserve">https://www.remidio.com/remidio-instaz</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Smartphone-based Remidio Fundus-On-Phone Camera, Developed, </w:t>
      </w:r>
      <w:hyperlink r:id="rId20">
        <w:r w:rsidDel="00000000" w:rsidR="00000000" w:rsidRPr="00000000">
          <w:rPr>
            <w:rFonts w:ascii="Google Sans" w:cs="Google Sans" w:eastAsia="Google Sans" w:hAnsi="Google Sans"/>
            <w:color w:val="0000ee"/>
            <w:sz w:val="24"/>
            <w:szCs w:val="24"/>
            <w:u w:val="single"/>
            <w:rtl w:val="0"/>
          </w:rPr>
          <w:t xml:space="preserve">https://www.prnewswire.com/in/news-releases/smartphone-based-remidio-fundus-on-phone-camera-developed-by-remidio-innovative-solutions-outperforms-traditional-table-top-system-in-detecting-diabetic-retinopathy-700794051.html</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novel preprocessing techniques and deep,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https://pmc.ncbi.nlm.nih.gov/articles/PMC12800199/</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IKD+: Reliable Low Complexity Deep Models for Retinopathy ... - arXiv, </w:t>
      </w:r>
      <w:hyperlink r:id="rId22">
        <w:r w:rsidDel="00000000" w:rsidR="00000000" w:rsidRPr="00000000">
          <w:rPr>
            <w:rFonts w:ascii="Google Sans" w:cs="Google Sans" w:eastAsia="Google Sans" w:hAnsi="Google Sans"/>
            <w:color w:val="0000ee"/>
            <w:sz w:val="24"/>
            <w:szCs w:val="24"/>
            <w:u w:val="single"/>
            <w:rtl w:val="0"/>
          </w:rPr>
          <w:t xml:space="preserve">https://arxiv.org/html/2303.02310v1</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DeepDRiD: Diabetic Retinopathy—Grading and Image Quality,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https://www.researchgate.net/publication/360750875_DeepDRiD_Diabetic_Retinopathy-Grading_and_Image_Quality_Estimation_Challenge</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Generalization in Diabetic Retinopathy Grading, </w:t>
      </w:r>
      <w:hyperlink r:id="rId24">
        <w:r w:rsidDel="00000000" w:rsidR="00000000" w:rsidRPr="00000000">
          <w:rPr>
            <w:rFonts w:ascii="Google Sans" w:cs="Google Sans" w:eastAsia="Google Sans" w:hAnsi="Google Sans"/>
            <w:color w:val="0000ee"/>
            <w:sz w:val="24"/>
            <w:szCs w:val="24"/>
            <w:u w:val="single"/>
            <w:rtl w:val="0"/>
          </w:rPr>
          <w:t xml:space="preserve">https://openaccess.thecvf.com/content/WACV2025/papers/Chokuwa_Divergent_Domains_Convergent_Grading_Enhancing_Generalization_in_Diabetic_Retinopathy_Grading_WACV_2025_paper.pdf</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arXiv:2406.06384v1 [cs.CV] 10 Jun 2024, </w:t>
      </w:r>
      <w:hyperlink r:id="rId25">
        <w:r w:rsidDel="00000000" w:rsidR="00000000" w:rsidRPr="00000000">
          <w:rPr>
            <w:rFonts w:ascii="Google Sans" w:cs="Google Sans" w:eastAsia="Google Sans" w:hAnsi="Google Sans"/>
            <w:color w:val="0000ee"/>
            <w:sz w:val="24"/>
            <w:szCs w:val="24"/>
            <w:u w:val="single"/>
            <w:rtl w:val="0"/>
          </w:rPr>
          <w:t xml:space="preserve">https://arxiv.org/pdf/2406.06384</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Refined image quality assessment for color fundus photography,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https://pmc.ncbi.nlm.nih.gov/articles/PMC10903193/</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Fundus Image Enhancement using CLAHE - ResearchGate,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https://www.researchgate.net/publication/392743086_Fundus_Image_Enhancement_using_CLAHE</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Enhancement Techniques - MATLAB &amp; Simulink - MathWorks, </w:t>
      </w:r>
      <w:hyperlink r:id="rId28">
        <w:r w:rsidDel="00000000" w:rsidR="00000000" w:rsidRPr="00000000">
          <w:rPr>
            <w:rFonts w:ascii="Google Sans" w:cs="Google Sans" w:eastAsia="Google Sans" w:hAnsi="Google Sans"/>
            <w:color w:val="0000ee"/>
            <w:sz w:val="24"/>
            <w:szCs w:val="24"/>
            <w:u w:val="single"/>
            <w:rtl w:val="0"/>
          </w:rPr>
          <w:t xml:space="preserve">https://www.mathworks.com/help/images/contrast-enhancement-techniques.html</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Pre-processing for Improving Deep Learning Classification of, </w:t>
      </w:r>
      <w:hyperlink r:id="rId29">
        <w:r w:rsidDel="00000000" w:rsidR="00000000" w:rsidRPr="00000000">
          <w:rPr>
            <w:rFonts w:ascii="Google Sans" w:cs="Google Sans" w:eastAsia="Google Sans" w:hAnsi="Google Sans"/>
            <w:color w:val="0000ee"/>
            <w:sz w:val="24"/>
            <w:szCs w:val="24"/>
            <w:u w:val="single"/>
            <w:rtl w:val="0"/>
          </w:rPr>
          <w:t xml:space="preserve">https://arxiv.org/html/2302.02524v5</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the channels from the corrected image - MATLAB Answers, </w:t>
      </w:r>
      <w:hyperlink r:id="rId30">
        <w:r w:rsidDel="00000000" w:rsidR="00000000" w:rsidRPr="00000000">
          <w:rPr>
            <w:rFonts w:ascii="Google Sans" w:cs="Google Sans" w:eastAsia="Google Sans" w:hAnsi="Google Sans"/>
            <w:color w:val="0000ee"/>
            <w:sz w:val="24"/>
            <w:szCs w:val="24"/>
            <w:u w:val="single"/>
            <w:rtl w:val="0"/>
          </w:rPr>
          <w:t xml:space="preserve">https://www.mathworks.com/matlabcentral/answers/517246-extracting-the-channels-from-the-corrected-image</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optic disc removal code? - MATLAB Answers, </w:t>
      </w:r>
      <w:hyperlink r:id="rId31">
        <w:r w:rsidDel="00000000" w:rsidR="00000000" w:rsidRPr="00000000">
          <w:rPr>
            <w:rFonts w:ascii="Google Sans" w:cs="Google Sans" w:eastAsia="Google Sans" w:hAnsi="Google Sans"/>
            <w:color w:val="0000ee"/>
            <w:sz w:val="24"/>
            <w:szCs w:val="24"/>
            <w:u w:val="single"/>
            <w:rtl w:val="0"/>
          </w:rPr>
          <w:t xml:space="preserve">https://se.mathworks.com/matlabcentral/answers/400235-how-to-improve-optic-disc-removal-code</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HSQ-VLM: A Novel Spatially-Constrained Quadrant Segmentation, </w:t>
      </w:r>
      <w:hyperlink r:id="rId32">
        <w:r w:rsidDel="00000000" w:rsidR="00000000" w:rsidRPr="00000000">
          <w:rPr>
            <w:rFonts w:ascii="Google Sans" w:cs="Google Sans" w:eastAsia="Google Sans" w:hAnsi="Google Sans"/>
            <w:color w:val="0000ee"/>
            <w:sz w:val="24"/>
            <w:szCs w:val="24"/>
            <w:u w:val="single"/>
            <w:rtl w:val="0"/>
          </w:rPr>
          <w:t xml:space="preserve">https://arxiv.org/html/2606.14803v1</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Improved Microaneurysm Detection Model Based on SwinIR and, </w:t>
      </w:r>
      <w:hyperlink r:id="rId33">
        <w:r w:rsidDel="00000000" w:rsidR="00000000" w:rsidRPr="00000000">
          <w:rPr>
            <w:rFonts w:ascii="Google Sans" w:cs="Google Sans" w:eastAsia="Google Sans" w:hAnsi="Google Sans"/>
            <w:color w:val="0000ee"/>
            <w:sz w:val="24"/>
            <w:szCs w:val="24"/>
            <w:u w:val="single"/>
            <w:rtl w:val="0"/>
          </w:rPr>
          <w:t xml:space="preserve">https://www.mdpi.com/2306-5354/10/12/1405</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Multi-branch Convolutional and Ensemble Learning Framework with, </w:t>
      </w:r>
      <w:hyperlink r:id="rId34">
        <w:r w:rsidDel="00000000" w:rsidR="00000000" w:rsidRPr="00000000">
          <w:rPr>
            <w:rFonts w:ascii="Google Sans" w:cs="Google Sans" w:eastAsia="Google Sans" w:hAnsi="Google Sans"/>
            <w:color w:val="0000ee"/>
            <w:sz w:val="24"/>
            <w:szCs w:val="24"/>
            <w:u w:val="single"/>
            <w:rtl w:val="0"/>
          </w:rPr>
          <w:t xml:space="preserve">https://oaji.net/pdfs.html?n=2026/3603-1787023028.pdf</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microaneurysm detection method based on Eigenvalue, </w:t>
      </w:r>
      <w:hyperlink r:id="rId35">
        <w:r w:rsidDel="00000000" w:rsidR="00000000" w:rsidRPr="00000000">
          <w:rPr>
            <w:rFonts w:ascii="Google Sans" w:cs="Google Sans" w:eastAsia="Google Sans" w:hAnsi="Google Sans"/>
            <w:color w:val="0000ee"/>
            <w:sz w:val="24"/>
            <w:szCs w:val="24"/>
            <w:u w:val="single"/>
            <w:rtl w:val="0"/>
          </w:rPr>
          <w:t xml:space="preserve">https://pubmed.ncbi.nlm.nih.gov/24111075/</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Microaneurysm Detection Using singular spectrum analysis, </w:t>
      </w:r>
      <w:hyperlink r:id="rId36">
        <w:r w:rsidDel="00000000" w:rsidR="00000000" w:rsidRPr="00000000">
          <w:rPr>
            <w:rFonts w:ascii="Google Sans" w:cs="Google Sans" w:eastAsia="Google Sans" w:hAnsi="Google Sans"/>
            <w:color w:val="0000ee"/>
            <w:sz w:val="24"/>
            <w:szCs w:val="24"/>
            <w:u w:val="single"/>
            <w:rtl w:val="0"/>
          </w:rPr>
          <w:t xml:space="preserve">http://www.iosrjournals.org/iosr-jeee/Papers/Conf.17017/Volume-1/11.%2049-53.pdf?id=7590</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Microaneurysm detection in fundus images using a two-step,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https://www.researchgate.net/publication/333465286_Microaneurysm_detection_in_fundus_images_using_a_two-step_convolutional_neural_network</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and Robust Exudate Detection in Retinal Fundus Images Using,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https://pmc.ncbi.nlm.nih.gov/articles/PMC9156631/</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Structure-preserving super-resolution of retinal fundus images via a,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https://pmc.ncbi.nlm.nih.gov/articles/PMC12900677/</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Diabetic retinopathy screening in rural India with portable fundus,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https://pmc.ncbi.nlm.nih.gov/articles/PMC8727670/</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Diabetic retinopathy detection using a well-calibrated uncertainty,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https://www.researchgate.net/publication/382523070_Diabetic_retinopathy_detection_using_a_well-calibrated_uncertainty_aware_convolutional_neural_network</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Benchmark for Studying Diabetic Retinopathy: Segmentation,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https://www.researchgate.net/publication/346908346_A_Benchmark_for_Studying_Diabetic_Retinopathy_Segmentation_Grading_and_Transferability</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a deep learning image quality ... - PMC,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https://pmc.ncbi.nlm.nih.gov/articles/PMC12287466/</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foundation models and transfer learning strategies, </w:t>
      </w:r>
      <w:hyperlink r:id="rId44">
        <w:r w:rsidDel="00000000" w:rsidR="00000000" w:rsidRPr="00000000">
          <w:rPr>
            <w:rFonts w:ascii="Google Sans" w:cs="Google Sans" w:eastAsia="Google Sans" w:hAnsi="Google Sans"/>
            <w:color w:val="0000ee"/>
            <w:sz w:val="24"/>
            <w:szCs w:val="24"/>
            <w:u w:val="single"/>
            <w:rtl w:val="0"/>
          </w:rPr>
          <w:t xml:space="preserve">https://www.medrxiv.org/content/10.64898/2026.04.17.26351092v1.full-text</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Multilabel Diabetic Retinopathy Fundus Image Classification Using, </w:t>
      </w:r>
      <w:hyperlink r:id="rId45">
        <w:r w:rsidDel="00000000" w:rsidR="00000000" w:rsidRPr="00000000">
          <w:rPr>
            <w:rFonts w:ascii="Google Sans" w:cs="Google Sans" w:eastAsia="Google Sans" w:hAnsi="Google Sans"/>
            <w:color w:val="0000ee"/>
            <w:sz w:val="24"/>
            <w:szCs w:val="24"/>
            <w:u w:val="single"/>
            <w:rtl w:val="0"/>
          </w:rPr>
          <w:t xml:space="preserve">https://www.mathworks.com/help/medical-imaging/ug/multilabel-diabetic-retinopathy-fundus-image-classification-using-deep-learning.html</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for Diabetic Retinopathy Detection: A Systematic, </w:t>
      </w:r>
      <w:hyperlink r:id="rId46">
        <w:r w:rsidDel="00000000" w:rsidR="00000000" w:rsidRPr="00000000">
          <w:rPr>
            <w:rFonts w:ascii="Google Sans" w:cs="Google Sans" w:eastAsia="Google Sans" w:hAnsi="Google Sans"/>
            <w:color w:val="0000ee"/>
            <w:sz w:val="24"/>
            <w:szCs w:val="24"/>
            <w:u w:val="single"/>
            <w:rtl w:val="0"/>
          </w:rPr>
          <w:t xml:space="preserve">https://verjournal.com/index.php/ver/article/download/803/666/1689</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Based Diabetic Retinopathy Detection Using, </w:t>
      </w:r>
      <w:hyperlink r:id="rId47">
        <w:r w:rsidDel="00000000" w:rsidR="00000000" w:rsidRPr="00000000">
          <w:rPr>
            <w:rFonts w:ascii="Google Sans" w:cs="Google Sans" w:eastAsia="Google Sans" w:hAnsi="Google Sans"/>
            <w:color w:val="0000ee"/>
            <w:sz w:val="24"/>
            <w:szCs w:val="24"/>
            <w:u w:val="single"/>
            <w:rtl w:val="0"/>
          </w:rPr>
          <w:t xml:space="preserve">https://www.irejournals.com/paper-details/1722597</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Simulation-Optimization for the Planning of Off-Site Construction, </w:t>
      </w:r>
      <w:hyperlink r:id="rId48">
        <w:r w:rsidDel="00000000" w:rsidR="00000000" w:rsidRPr="00000000">
          <w:rPr>
            <w:rFonts w:ascii="Google Sans" w:cs="Google Sans" w:eastAsia="Google Sans" w:hAnsi="Google Sans"/>
            <w:color w:val="0000ee"/>
            <w:sz w:val="24"/>
            <w:szCs w:val="24"/>
            <w:u w:val="single"/>
            <w:rtl w:val="0"/>
          </w:rPr>
          <w:t xml:space="preserve">https://www.mdpi.com/2071-1050/13/24/13551</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Grad-CAM++: Generalized Gradient-Based Visual Explanations for,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https://www.researchgate.net/publication/325002873_Grad-CAM_Generalized_Gradient-Based_Visual_Explanations_for_Deep_Convolutional_Networks</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diagnosis and classification of breast surgical samples,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https://pmc.ncbi.nlm.nih.gov/articles/PMC10234284/</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for Deep Learning Toolbox - MathWorks, </w:t>
      </w:r>
      <w:hyperlink r:id="rId51">
        <w:r w:rsidDel="00000000" w:rsidR="00000000" w:rsidRPr="00000000">
          <w:rPr>
            <w:rFonts w:ascii="Google Sans" w:cs="Google Sans" w:eastAsia="Google Sans" w:hAnsi="Google Sans"/>
            <w:color w:val="0000ee"/>
            <w:sz w:val="24"/>
            <w:szCs w:val="24"/>
            <w:u w:val="single"/>
            <w:rtl w:val="0"/>
          </w:rPr>
          <w:t xml:space="preserve">https://in.mathworks.com/help/deeplearning/release-notes.html?s_tid=srchtitle_support_results_5_What%20are%20the%20supported%20Data%20Translation%20boards%3F</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medical-image-processing · GitHub Topics, </w:t>
      </w:r>
      <w:hyperlink r:id="rId52">
        <w:r w:rsidDel="00000000" w:rsidR="00000000" w:rsidRPr="00000000">
          <w:rPr>
            <w:rFonts w:ascii="Google Sans" w:cs="Google Sans" w:eastAsia="Google Sans" w:hAnsi="Google Sans"/>
            <w:color w:val="0000ee"/>
            <w:sz w:val="24"/>
            <w:szCs w:val="24"/>
            <w:u w:val="single"/>
            <w:rtl w:val="0"/>
          </w:rPr>
          <w:t xml:space="preserve">https://github.com/topics/medical-image-processing?l=matlab&amp;o=desc&amp;s=&amp;utf8=%E2%9C%93</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1Introduction - arXiv, </w:t>
      </w:r>
      <w:hyperlink r:id="rId53">
        <w:r w:rsidDel="00000000" w:rsidR="00000000" w:rsidRPr="00000000">
          <w:rPr>
            <w:rFonts w:ascii="Google Sans" w:cs="Google Sans" w:eastAsia="Google Sans" w:hAnsi="Google Sans"/>
            <w:color w:val="0000ee"/>
            <w:sz w:val="24"/>
            <w:szCs w:val="24"/>
            <w:u w:val="single"/>
            <w:rtl w:val="0"/>
          </w:rPr>
          <w:t xml:space="preserve">https://arxiv.org/html/2410.15658v3</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Uncertainty Quantification and Deep Ensembles - OpenReview, </w:t>
      </w:r>
      <w:hyperlink r:id="rId54">
        <w:r w:rsidDel="00000000" w:rsidR="00000000" w:rsidRPr="00000000">
          <w:rPr>
            <w:rFonts w:ascii="Google Sans" w:cs="Google Sans" w:eastAsia="Google Sans" w:hAnsi="Google Sans"/>
            <w:color w:val="0000ee"/>
            <w:sz w:val="24"/>
            <w:szCs w:val="24"/>
            <w:u w:val="single"/>
            <w:rtl w:val="0"/>
          </w:rPr>
          <w:t xml:space="preserve">https://openreview.net/pdf?id=wg_kD_nyAF</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Expert-validated estimation of diagnostic uncertainty for deep neural, </w:t>
      </w:r>
      <w:hyperlink r:id="rId55">
        <w:r w:rsidDel="00000000" w:rsidR="00000000" w:rsidRPr="00000000">
          <w:rPr>
            <w:rFonts w:ascii="Google Sans" w:cs="Google Sans" w:eastAsia="Google Sans" w:hAnsi="Google Sans"/>
            <w:color w:val="0000ee"/>
            <w:sz w:val="24"/>
            <w:szCs w:val="24"/>
            <w:u w:val="single"/>
            <w:rtl w:val="0"/>
          </w:rPr>
          <w:t xml:space="preserve">https://pdfs.semanticscholar.org/34b4/0525445d81c3a654a2b8474b5891e68caf1b.pdf</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artificial intelligence in the diagnosis of diabetic, </w:t>
      </w:r>
      <w:hyperlink r:id="rId56">
        <w:r w:rsidDel="00000000" w:rsidR="00000000" w:rsidRPr="00000000">
          <w:rPr>
            <w:rFonts w:ascii="Google Sans" w:cs="Google Sans" w:eastAsia="Google Sans" w:hAnsi="Google Sans"/>
            <w:color w:val="0000ee"/>
            <w:sz w:val="24"/>
            <w:szCs w:val="24"/>
            <w:u w:val="single"/>
            <w:rtl w:val="0"/>
          </w:rPr>
          <w:t xml:space="preserve">https://qims.amegroups.org/article/view/136001/html</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DGDR/GDRBench/README.md at main - GitHub, </w:t>
      </w:r>
      <w:hyperlink r:id="rId57">
        <w:r w:rsidDel="00000000" w:rsidR="00000000" w:rsidRPr="00000000">
          <w:rPr>
            <w:rFonts w:ascii="Google Sans" w:cs="Google Sans" w:eastAsia="Google Sans" w:hAnsi="Google Sans"/>
            <w:color w:val="0000ee"/>
            <w:sz w:val="24"/>
            <w:szCs w:val="24"/>
            <w:u w:val="single"/>
            <w:rtl w:val="0"/>
          </w:rPr>
          <w:t xml:space="preserve">https://github.com/chehx/DGDR/blob/main/GDRBench/README.md</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data available in the created dataset. - ResearchGate, </w:t>
      </w:r>
      <w:hyperlink r:id="rId58">
        <w:r w:rsidDel="00000000" w:rsidR="00000000" w:rsidRPr="00000000">
          <w:rPr>
            <w:rFonts w:ascii="Google Sans" w:cs="Google Sans" w:eastAsia="Google Sans" w:hAnsi="Google Sans"/>
            <w:color w:val="0000ee"/>
            <w:sz w:val="24"/>
            <w:szCs w:val="24"/>
            <w:u w:val="single"/>
            <w:rtl w:val="0"/>
          </w:rPr>
          <w:t xml:space="preserve">https://www.researchgate.net/figure/List-of-data-available-in-the-created-dataset_tbl1_326312114</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Reliable Diabetic Retinopathy Screening - MDPI, </w:t>
      </w:r>
      <w:hyperlink r:id="rId59">
        <w:r w:rsidDel="00000000" w:rsidR="00000000" w:rsidRPr="00000000">
          <w:rPr>
            <w:rFonts w:ascii="Google Sans" w:cs="Google Sans" w:eastAsia="Google Sans" w:hAnsi="Google Sans"/>
            <w:color w:val="0000ee"/>
            <w:sz w:val="24"/>
            <w:szCs w:val="24"/>
            <w:u w:val="single"/>
            <w:rtl w:val="0"/>
          </w:rPr>
          <w:t xml:space="preserve">https://www.mdpi.com/1424-8220/26/14/4515</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SimEvents — Examples - MathWorks, </w:t>
      </w:r>
      <w:hyperlink r:id="rId60">
        <w:r w:rsidDel="00000000" w:rsidR="00000000" w:rsidRPr="00000000">
          <w:rPr>
            <w:rFonts w:ascii="Google Sans" w:cs="Google Sans" w:eastAsia="Google Sans" w:hAnsi="Google Sans"/>
            <w:color w:val="0000ee"/>
            <w:sz w:val="24"/>
            <w:szCs w:val="24"/>
            <w:u w:val="single"/>
            <w:rtl w:val="0"/>
          </w:rPr>
          <w:t xml:space="preserve">https://www.mathworks.com/help/simevents/examples.html</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for Deep Learning Toolbox - MathWorks, </w:t>
      </w:r>
      <w:hyperlink r:id="rId61">
        <w:r w:rsidDel="00000000" w:rsidR="00000000" w:rsidRPr="00000000">
          <w:rPr>
            <w:rFonts w:ascii="Google Sans" w:cs="Google Sans" w:eastAsia="Google Sans" w:hAnsi="Google Sans"/>
            <w:color w:val="0000ee"/>
            <w:sz w:val="24"/>
            <w:szCs w:val="24"/>
            <w:u w:val="single"/>
            <w:rtl w:val="0"/>
          </w:rPr>
          <w:t xml:space="preserve">https://www.mathworks.com/help/deeplearning/release-notes.html</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Retinal Vessel Segmentation Algorithm: Fundus Images, </w:t>
      </w:r>
      <w:hyperlink r:id="rId62">
        <w:r w:rsidDel="00000000" w:rsidR="00000000" w:rsidRPr="00000000">
          <w:rPr>
            <w:rFonts w:ascii="Google Sans" w:cs="Google Sans" w:eastAsia="Google Sans" w:hAnsi="Google Sans"/>
            <w:color w:val="0000ee"/>
            <w:sz w:val="24"/>
            <w:szCs w:val="24"/>
            <w:u w:val="single"/>
            <w:rtl w:val="0"/>
          </w:rPr>
          <w:t xml:space="preserve">https://www.mathworks.com/matlabcentral/fileexchange/50839-novel-retinal-vessel-segmentation-algorithm-fundus-images</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Implementation of Discrete-event Simulation Framework,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https://www.researchgate.net/publication/265909615_Design_and_Implementation_of_Discrete-event_Simulation_Framework_for_Modeling_Bus_Rapid_Transit_System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8727670/" TargetMode="External"/><Relationship Id="rId42" Type="http://schemas.openxmlformats.org/officeDocument/2006/relationships/hyperlink" Target="https://www.researchgate.net/publication/346908346_A_Benchmark_for_Studying_Diabetic_Retinopathy_Segmentation_Grading_and_Transferability" TargetMode="External"/><Relationship Id="rId41" Type="http://schemas.openxmlformats.org/officeDocument/2006/relationships/hyperlink" Target="https://www.researchgate.net/publication/382523070_Diabetic_retinopathy_detection_using_a_well-calibrated_uncertainty_aware_convolutional_neural_network" TargetMode="External"/><Relationship Id="rId44" Type="http://schemas.openxmlformats.org/officeDocument/2006/relationships/hyperlink" Target="https://www.medrxiv.org/content/10.64898/2026.04.17.26351092v1.full-text" TargetMode="External"/><Relationship Id="rId43" Type="http://schemas.openxmlformats.org/officeDocument/2006/relationships/hyperlink" Target="https://pmc.ncbi.nlm.nih.gov/articles/PMC12287466/" TargetMode="External"/><Relationship Id="rId46" Type="http://schemas.openxmlformats.org/officeDocument/2006/relationships/hyperlink" Target="https://verjournal.com/index.php/ver/article/download/803/666/1689" TargetMode="External"/><Relationship Id="rId45" Type="http://schemas.openxmlformats.org/officeDocument/2006/relationships/hyperlink" Target="https://www.mathworks.com/help/medical-imaging/ug/multilabel-diabetic-retinopathy-fundus-image-classification-using-deep-learn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4821127/" TargetMode="External"/><Relationship Id="rId48" Type="http://schemas.openxmlformats.org/officeDocument/2006/relationships/hyperlink" Target="https://www.mdpi.com/2071-1050/13/24/13551" TargetMode="External"/><Relationship Id="rId47" Type="http://schemas.openxmlformats.org/officeDocument/2006/relationships/hyperlink" Target="https://www.irejournals.com/paper-details/1722597" TargetMode="External"/><Relationship Id="rId49" Type="http://schemas.openxmlformats.org/officeDocument/2006/relationships/hyperlink" Target="https://www.researchgate.net/publication/325002873_Grad-CAM_Generalized_Gradient-Based_Visual_Explanations_for_Deep_Convolutional_Network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se.mathworks.com/matlabcentral/answers/400235-how-to-improve-optic-disc-removal-code" TargetMode="External"/><Relationship Id="rId30" Type="http://schemas.openxmlformats.org/officeDocument/2006/relationships/hyperlink" Target="https://www.mathworks.com/matlabcentral/answers/517246-extracting-the-channels-from-the-corrected-image" TargetMode="External"/><Relationship Id="rId33" Type="http://schemas.openxmlformats.org/officeDocument/2006/relationships/hyperlink" Target="https://www.mdpi.com/2306-5354/10/12/1405" TargetMode="External"/><Relationship Id="rId32" Type="http://schemas.openxmlformats.org/officeDocument/2006/relationships/hyperlink" Target="https://arxiv.org/html/2606.14803v1" TargetMode="External"/><Relationship Id="rId35" Type="http://schemas.openxmlformats.org/officeDocument/2006/relationships/hyperlink" Target="https://pubmed.ncbi.nlm.nih.gov/24111075/" TargetMode="External"/><Relationship Id="rId34" Type="http://schemas.openxmlformats.org/officeDocument/2006/relationships/hyperlink" Target="https://oaji.net/pdfs.html?n=2026/3603-1787023028.pdf" TargetMode="External"/><Relationship Id="rId37" Type="http://schemas.openxmlformats.org/officeDocument/2006/relationships/hyperlink" Target="https://www.researchgate.net/publication/333465286_Microaneurysm_detection_in_fundus_images_using_a_two-step_convolutional_neural_network" TargetMode="External"/><Relationship Id="rId36" Type="http://schemas.openxmlformats.org/officeDocument/2006/relationships/hyperlink" Target="http://www.iosrjournals.org/iosr-jeee/Papers/Conf.17017/Volume-1/11.%2049-53.pdf?id=7590" TargetMode="External"/><Relationship Id="rId39" Type="http://schemas.openxmlformats.org/officeDocument/2006/relationships/hyperlink" Target="https://pmc.ncbi.nlm.nih.gov/articles/PMC12900677/" TargetMode="External"/><Relationship Id="rId38" Type="http://schemas.openxmlformats.org/officeDocument/2006/relationships/hyperlink" Target="https://pmc.ncbi.nlm.nih.gov/articles/PMC9156631/" TargetMode="External"/><Relationship Id="rId62" Type="http://schemas.openxmlformats.org/officeDocument/2006/relationships/hyperlink" Target="https://www.mathworks.com/matlabcentral/fileexchange/50839-novel-retinal-vessel-segmentation-algorithm-fundus-images" TargetMode="External"/><Relationship Id="rId61" Type="http://schemas.openxmlformats.org/officeDocument/2006/relationships/hyperlink" Target="https://www.mathworks.com/help/deeplearning/release-notes.html" TargetMode="External"/><Relationship Id="rId20" Type="http://schemas.openxmlformats.org/officeDocument/2006/relationships/hyperlink" Target="https://www.prnewswire.com/in/news-releases/smartphone-based-remidio-fundus-on-phone-camera-developed-by-remidio-innovative-solutions-outperforms-traditional-table-top-system-in-detecting-diabetic-retinopathy-700794051.html" TargetMode="External"/><Relationship Id="rId63" Type="http://schemas.openxmlformats.org/officeDocument/2006/relationships/hyperlink" Target="https://www.researchgate.net/publication/265909615_Design_and_Implementation_of_Discrete-event_Simulation_Framework_for_Modeling_Bus_Rapid_Transit_System" TargetMode="External"/><Relationship Id="rId22" Type="http://schemas.openxmlformats.org/officeDocument/2006/relationships/hyperlink" Target="https://arxiv.org/html/2303.02310v1" TargetMode="External"/><Relationship Id="rId21" Type="http://schemas.openxmlformats.org/officeDocument/2006/relationships/hyperlink" Target="https://pmc.ncbi.nlm.nih.gov/articles/PMC12800199/" TargetMode="External"/><Relationship Id="rId24" Type="http://schemas.openxmlformats.org/officeDocument/2006/relationships/hyperlink" Target="https://openaccess.thecvf.com/content/WACV2025/papers/Chokuwa_Divergent_Domains_Convergent_Grading_Enhancing_Generalization_in_Diabetic_Retinopathy_Grading_WACV_2025_paper.pdf" TargetMode="External"/><Relationship Id="rId23" Type="http://schemas.openxmlformats.org/officeDocument/2006/relationships/hyperlink" Target="https://www.researchgate.net/publication/360750875_DeepDRiD_Diabetic_Retinopathy-Grading_and_Image_Quality_Estimation_Challenge" TargetMode="External"/><Relationship Id="rId60" Type="http://schemas.openxmlformats.org/officeDocument/2006/relationships/hyperlink" Target="https://www.mathworks.com/help/simevents/examples.html" TargetMode="External"/><Relationship Id="rId26" Type="http://schemas.openxmlformats.org/officeDocument/2006/relationships/hyperlink" Target="https://pmc.ncbi.nlm.nih.gov/articles/PMC10903193/" TargetMode="External"/><Relationship Id="rId25" Type="http://schemas.openxmlformats.org/officeDocument/2006/relationships/hyperlink" Target="https://arxiv.org/pdf/2406.06384" TargetMode="External"/><Relationship Id="rId28" Type="http://schemas.openxmlformats.org/officeDocument/2006/relationships/hyperlink" Target="https://www.mathworks.com/help/images/contrast-enhancement-techniques.html" TargetMode="External"/><Relationship Id="rId27" Type="http://schemas.openxmlformats.org/officeDocument/2006/relationships/hyperlink" Target="https://www.researchgate.net/publication/392743086_Fundus_Image_Enhancement_using_CLAHE" TargetMode="External"/><Relationship Id="rId29" Type="http://schemas.openxmlformats.org/officeDocument/2006/relationships/hyperlink" Target="https://arxiv.org/html/2302.02524v5" TargetMode="External"/><Relationship Id="rId51" Type="http://schemas.openxmlformats.org/officeDocument/2006/relationships/hyperlink" Target="https://in.mathworks.com/help/deeplearning/release-notes.html?s_tid=srchtitle_support_results_5_What+are+the+supported+Data+Translation+boards?" TargetMode="External"/><Relationship Id="rId50" Type="http://schemas.openxmlformats.org/officeDocument/2006/relationships/hyperlink" Target="https://pmc.ncbi.nlm.nih.gov/articles/PMC10234284/" TargetMode="External"/><Relationship Id="rId53" Type="http://schemas.openxmlformats.org/officeDocument/2006/relationships/hyperlink" Target="https://arxiv.org/html/2410.15658v3" TargetMode="External"/><Relationship Id="rId52" Type="http://schemas.openxmlformats.org/officeDocument/2006/relationships/hyperlink" Target="https://github.com/topics/medical-image-processing?l=matlab&amp;o=desc&amp;s&amp;utf8=%E2%9C%93" TargetMode="External"/><Relationship Id="rId11" Type="http://schemas.openxmlformats.org/officeDocument/2006/relationships/hyperlink" Target="https://gjmpbu.org/tele-optometry-and-mobile-eye-care-units-a-rural-vision-care-model-for-india/" TargetMode="External"/><Relationship Id="rId55" Type="http://schemas.openxmlformats.org/officeDocument/2006/relationships/hyperlink" Target="https://pdfs.semanticscholar.org/34b4/0525445d81c3a654a2b8474b5891e68caf1b.pdf" TargetMode="External"/><Relationship Id="rId10" Type="http://schemas.openxmlformats.org/officeDocument/2006/relationships/hyperlink" Target="https://pmc.ncbi.nlm.nih.gov/articles/PMC12468348/" TargetMode="External"/><Relationship Id="rId54" Type="http://schemas.openxmlformats.org/officeDocument/2006/relationships/hyperlink" Target="https://openreview.net/pdf?id=wg_kD_nyAF" TargetMode="External"/><Relationship Id="rId13" Type="http://schemas.openxmlformats.org/officeDocument/2006/relationships/hyperlink" Target="https://www.techsciresearch.com/blog/how-telemedicine-is-revolutionizing-diabetes-care-in-rural-india/4677.html" TargetMode="External"/><Relationship Id="rId57" Type="http://schemas.openxmlformats.org/officeDocument/2006/relationships/hyperlink" Target="https://github.com/chehx/DGDR/blob/main/GDRBench/README.md" TargetMode="External"/><Relationship Id="rId12" Type="http://schemas.openxmlformats.org/officeDocument/2006/relationships/hyperlink" Target="http://esanjeevani.mohfw.gov.in/" TargetMode="External"/><Relationship Id="rId56" Type="http://schemas.openxmlformats.org/officeDocument/2006/relationships/hyperlink" Target="https://qims.amegroups.org/article/view/136001/html" TargetMode="External"/><Relationship Id="rId15" Type="http://schemas.openxmlformats.org/officeDocument/2006/relationships/hyperlink" Target="https://forushealth.com/3nethra-pico/" TargetMode="External"/><Relationship Id="rId59" Type="http://schemas.openxmlformats.org/officeDocument/2006/relationships/hyperlink" Target="https://www.mdpi.com/1424-8220/26/14/4515" TargetMode="External"/><Relationship Id="rId14" Type="http://schemas.openxmlformats.org/officeDocument/2006/relationships/hyperlink" Target="https://remidio.us/who-we-serve/primary-care-providers/" TargetMode="External"/><Relationship Id="rId58" Type="http://schemas.openxmlformats.org/officeDocument/2006/relationships/hyperlink" Target="https://www.researchgate.net/figure/List-of-data-available-in-the-created-dataset_tbl1_326312114" TargetMode="External"/><Relationship Id="rId17" Type="http://schemas.openxmlformats.org/officeDocument/2006/relationships/hyperlink" Target="https://www.expresshealthcare.in/news/teleophthalmology-bridging-the-gap-in-eye-care-access-with-integrated-software/441552/" TargetMode="External"/><Relationship Id="rId16" Type="http://schemas.openxmlformats.org/officeDocument/2006/relationships/hyperlink" Target="https://www.remidio.com/medioshi-ai-3-in-1" TargetMode="External"/><Relationship Id="rId19" Type="http://schemas.openxmlformats.org/officeDocument/2006/relationships/hyperlink" Target="https://www.remidio.com/remidio-instaz" TargetMode="External"/><Relationship Id="rId18" Type="http://schemas.openxmlformats.org/officeDocument/2006/relationships/hyperlink" Target="https://www.remidi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