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sz w:val="44"/>
        </w:rPr>
        <w:t>社区治安报告</w:t>
      </w:r>
    </w:p>
    <w:p>
      <w:pPr>
        <w:jc w:val="center"/>
      </w:pPr>
      <w:r>
        <w:rPr>
          <w:rFonts w:ascii="宋体" w:hAnsi="宋体" w:eastAsia="宋体"/>
          <w:b w:val="0"/>
          <w:color w:val="808080"/>
          <w:sz w:val="24"/>
        </w:rPr>
        <w:t>生成日期：2026年06月07日</w:t>
      </w:r>
    </w:p>
    <w:p/>
    <w:p>
      <w:r>
        <w:rPr>
          <w:rFonts w:ascii="宋体" w:hAnsi="宋体" w:eastAsia="宋体"/>
          <w:b/>
          <w:sz w:val="32"/>
        </w:rPr>
        <w:t>一、社区概况</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居民总数</w:t>
            </w:r>
          </w:p>
        </w:tc>
        <w:tc>
          <w:tcPr>
            <w:tcW w:type="dxa" w:w="4320"/>
          </w:tcPr>
          <w:p>
            <w:r>
              <w:t>550 人</w:t>
            </w:r>
          </w:p>
        </w:tc>
      </w:tr>
      <w:tr>
        <w:tc>
          <w:tcPr>
            <w:tcW w:type="dxa" w:w="4320"/>
          </w:tcPr>
          <w:p>
            <w:r>
              <w:t>网格数量</w:t>
            </w:r>
          </w:p>
        </w:tc>
        <w:tc>
          <w:tcPr>
            <w:tcW w:type="dxa" w:w="4320"/>
          </w:tcPr>
          <w:p>
            <w:r>
              <w:t>1 个</w:t>
            </w:r>
          </w:p>
        </w:tc>
      </w:tr>
      <w:tr>
        <w:tc>
          <w:tcPr>
            <w:tcW w:type="dxa" w:w="4320"/>
          </w:tcPr>
          <w:p>
            <w:r>
              <w:t>房屋数量</w:t>
            </w:r>
          </w:p>
        </w:tc>
        <w:tc>
          <w:tcPr>
            <w:tcW w:type="dxa" w:w="4320"/>
          </w:tcPr>
          <w:p>
            <w:r>
              <w:t>161 户</w:t>
            </w:r>
          </w:p>
        </w:tc>
      </w:tr>
      <w:tr>
        <w:tc>
          <w:tcPr>
            <w:tcW w:type="dxa" w:w="4320"/>
          </w:tcPr>
          <w:p>
            <w:r>
              <w:t>60岁以上老人</w:t>
            </w:r>
          </w:p>
        </w:tc>
        <w:tc>
          <w:tcPr>
            <w:tcW w:type="dxa" w:w="4320"/>
          </w:tcPr>
          <w:p>
            <w:r>
              <w:t>85 人</w:t>
            </w:r>
          </w:p>
        </w:tc>
      </w:tr>
      <w:tr>
        <w:tc>
          <w:tcPr>
            <w:tcW w:type="dxa" w:w="4320"/>
          </w:tcPr>
          <w:p>
            <w:r>
              <w:t>80岁以上高龄老人</w:t>
            </w:r>
          </w:p>
        </w:tc>
        <w:tc>
          <w:tcPr>
            <w:tcW w:type="dxa" w:w="4320"/>
          </w:tcPr>
          <w:p>
            <w:r>
              <w:t>4 人</w:t>
            </w:r>
          </w:p>
        </w:tc>
      </w:tr>
      <w:tr>
        <w:tc>
          <w:tcPr>
            <w:tcW w:type="dxa" w:w="4320"/>
          </w:tcPr>
          <w:p>
            <w:r>
              <w:t>独居老人</w:t>
            </w:r>
          </w:p>
        </w:tc>
        <w:tc>
          <w:tcPr>
            <w:tcW w:type="dxa" w:w="4320"/>
          </w:tcPr>
          <w:p>
            <w:r>
              <w:t>0 人</w:t>
            </w:r>
          </w:p>
        </w:tc>
      </w:tr>
      <w:tr>
        <w:tc>
          <w:tcPr>
            <w:tcW w:type="dxa" w:w="4320"/>
          </w:tcPr>
          <w:p>
            <w:r>
              <w:t>残疾人</w:t>
            </w:r>
          </w:p>
        </w:tc>
        <w:tc>
          <w:tcPr>
            <w:tcW w:type="dxa" w:w="4320"/>
          </w:tcPr>
          <w:p>
            <w:r>
              <w:t>0 人</w:t>
            </w:r>
          </w:p>
        </w:tc>
      </w:tr>
      <w:tr>
        <w:tc>
          <w:tcPr>
            <w:tcW w:type="dxa" w:w="4320"/>
          </w:tcPr>
          <w:p>
            <w:r>
              <w:t>低保户</w:t>
            </w:r>
          </w:p>
        </w:tc>
        <w:tc>
          <w:tcPr>
            <w:tcW w:type="dxa" w:w="4320"/>
          </w:tcPr>
          <w:p>
            <w:r>
              <w:t>0 人</w:t>
            </w:r>
          </w:p>
        </w:tc>
      </w:tr>
      <w:tr>
        <w:tc>
          <w:tcPr>
            <w:tcW w:type="dxa" w:w="4320"/>
          </w:tcPr>
          <w:p>
            <w:r>
              <w:t>留守儿童</w:t>
            </w:r>
          </w:p>
        </w:tc>
        <w:tc>
          <w:tcPr>
            <w:tcW w:type="dxa" w:w="4320"/>
          </w:tcPr>
          <w:p>
            <w:r>
              <w:t>0 人</w:t>
            </w:r>
          </w:p>
        </w:tc>
      </w:tr>
      <w:tr>
        <w:tc>
          <w:tcPr>
            <w:tcW w:type="dxa" w:w="4320"/>
          </w:tcPr>
          <w:p>
            <w:r>
              <w:t>重点人群</w:t>
            </w:r>
          </w:p>
        </w:tc>
        <w:tc>
          <w:tcPr>
            <w:tcW w:type="dxa" w:w="4320"/>
          </w:tcPr>
          <w:p>
            <w:r>
              <w:t>0 人</w:t>
            </w:r>
          </w:p>
        </w:tc>
      </w:tr>
      <w:tr>
        <w:tc>
          <w:tcPr>
            <w:tcW w:type="dxa" w:w="4320"/>
          </w:tcPr>
          <w:p>
            <w:r>
              <w:t>男性</w:t>
            </w:r>
          </w:p>
        </w:tc>
        <w:tc>
          <w:tcPr>
            <w:tcW w:type="dxa" w:w="4320"/>
          </w:tcPr>
          <w:p>
            <w:r>
              <w:t>227 人</w:t>
            </w:r>
          </w:p>
        </w:tc>
      </w:tr>
      <w:tr>
        <w:tc>
          <w:tcPr>
            <w:tcW w:type="dxa" w:w="4320"/>
          </w:tcPr>
          <w:p>
            <w:r>
              <w:t>女性</w:t>
            </w:r>
          </w:p>
        </w:tc>
        <w:tc>
          <w:tcPr>
            <w:tcW w:type="dxa" w:w="4320"/>
          </w:tcPr>
          <w:p>
            <w:r>
              <w:t>255 人</w:t>
            </w:r>
          </w:p>
        </w:tc>
      </w:tr>
    </w:tbl>
    <w:p/>
    <w:p>
      <w:r>
        <w:rPr>
          <w:rFonts w:ascii="宋体" w:hAnsi="宋体" w:eastAsia="宋体"/>
          <w:b/>
          <w:sz w:val="32"/>
        </w:rPr>
        <w:t>二、网格分布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网格名称</w:t>
            </w:r>
          </w:p>
        </w:tc>
        <w:tc>
          <w:tcPr>
            <w:tcW w:type="dxa" w:w="2160"/>
          </w:tcPr>
          <w:p>
            <w:r>
              <w:t>居民人数</w:t>
            </w:r>
          </w:p>
        </w:tc>
        <w:tc>
          <w:tcPr>
            <w:tcW w:type="dxa" w:w="2160"/>
          </w:tcPr>
          <w:p>
            <w:r>
              <w:t>老人数</w:t>
            </w:r>
          </w:p>
        </w:tc>
        <w:tc>
          <w:tcPr>
            <w:tcW w:type="dxa" w:w="2160"/>
          </w:tcPr>
          <w:p>
            <w:r>
              <w:t>重点人群</w:t>
            </w:r>
          </w:p>
        </w:tc>
      </w:tr>
      <w:tr>
        <w:tc>
          <w:tcPr>
            <w:tcW w:type="dxa" w:w="2160"/>
          </w:tcPr>
          <w:p>
            <w:r>
              <w:t>第一网格</w:t>
            </w:r>
          </w:p>
        </w:tc>
        <w:tc>
          <w:tcPr>
            <w:tcW w:type="dxa" w:w="2160"/>
          </w:tcPr>
          <w:p>
            <w:r>
              <w:t>550</w:t>
            </w:r>
          </w:p>
        </w:tc>
        <w:tc>
          <w:tcPr>
            <w:tcW w:type="dxa" w:w="2160"/>
          </w:tcPr>
          <w:p>
            <w:r>
              <w:t>85</w:t>
            </w:r>
          </w:p>
        </w:tc>
        <w:tc>
          <w:tcPr>
            <w:tcW w:type="dxa" w:w="2160"/>
          </w:tcPr>
          <w:p>
            <w:r>
              <w:t>0</w:t>
            </w:r>
          </w:p>
        </w:tc>
      </w:tr>
    </w:tbl>
    <w:p/>
    <w:p>
      <w:r>
        <w:rPr>
          <w:rFonts w:ascii="宋体" w:hAnsi="宋体" w:eastAsia="宋体"/>
          <w:b/>
          <w:sz w:val="32"/>
        </w:rPr>
        <w:t>三、详细分析</w:t>
      </w:r>
    </w:p>
    <w:p>
      <w:r>
        <w:rPr>
          <w:rFonts w:ascii="宋体" w:hAnsi="宋体" w:eastAsia="宋体"/>
          <w:b w:val="0"/>
          <w:sz w:val="24"/>
        </w:rPr>
        <w:t>关于“数邻智算”社区治安状况的分析与工作建议</w:t>
      </w:r>
    </w:p>
    <w:p>
      <w:r>
        <w:rPr>
          <w:rFonts w:ascii="宋体" w:hAnsi="宋体" w:eastAsia="宋体"/>
          <w:b w:val="0"/>
          <w:sz w:val="24"/>
        </w:rPr>
        <w:t>报告编号： SZ-2026-06-07-A01</w:t>
        <w:br/>
        <w:t>生成日期： 2026年06月07日</w:t>
        <w:br/>
        <w:t>报告撰写单位： “数邻智算”社区报告撰写专家组</w:t>
        <w:br/>
        <w:t>报告主旨： 基于社区人口结构数据，分析治安管理现状，研判潜在趋势，并提出下一步工作建议。</w:t>
      </w:r>
    </w:p>
    <w:p>
      <w:r>
        <w:rPr>
          <w:rFonts w:ascii="宋体" w:hAnsi="宋体" w:eastAsia="宋体"/>
          <w:b w:val="0"/>
          <w:sz w:val="24"/>
        </w:rPr>
        <w:t>一、 引言</w:t>
      </w:r>
    </w:p>
    <w:p>
      <w:r>
        <w:rPr>
          <w:rFonts w:ascii="宋体" w:hAnsi="宋体" w:eastAsia="宋体"/>
          <w:b w:val="0"/>
          <w:sz w:val="24"/>
        </w:rPr>
        <w:t>为全面掌握“数邻智算”社区基本情况，精准施策，提升社区治理效能，特别是治安管理的科学性与预见性，本报告依据2026年6月7日采集的最新网格化管理数据，对社区人口结构、重点人群分布等治安相关基础要素进行系统性分析，并结合数据特征提出针对性工作建议，旨在为社区治安工作的规划与实施提供数据支撑与决策参考。</w:t>
      </w:r>
    </w:p>
    <w:p>
      <w:r>
        <w:rPr>
          <w:rFonts w:ascii="宋体" w:hAnsi="宋体" w:eastAsia="宋体"/>
          <w:b w:val="0"/>
          <w:sz w:val="24"/>
        </w:rPr>
        <w:t>二、 社区治安基础数据现状分析</w:t>
      </w:r>
    </w:p>
    <w:p>
      <w:r>
        <w:rPr>
          <w:rFonts w:ascii="宋体" w:hAnsi="宋体" w:eastAsia="宋体"/>
          <w:b w:val="0"/>
          <w:sz w:val="24"/>
        </w:rPr>
        <w:t>根据本次数据采集结果，现就社区与治安相关的核心数据解读如下：</w:t>
      </w:r>
    </w:p>
    <w:p>
      <w:r>
        <w:rPr>
          <w:rFonts w:ascii="宋体" w:hAnsi="宋体" w:eastAsia="宋体"/>
          <w:b w:val="0"/>
          <w:sz w:val="24"/>
        </w:rPr>
        <w:t>1.  总体人口与居住规模： 社区现有总人口550人，户籍或常住户数161户，平均户规模约为3.4人/户。共计1个网格（第一网格），实现了人口数据的全覆盖采集。该数据表明，社区属于中等规模，管理单元集中，有利于实施精细化治安管理。</w:t>
        <w:br/>
        <w:t>2.  人口结构特征：</w:t>
        <w:br/>
        <w:t xml:space="preserve">    *   性别结构： 男性227人，女性255人，性别比例大致均衡，无显著性别失衡可能引发的特定治安风险。</w:t>
        <w:br/>
        <w:t xml:space="preserve">    *   年龄结构（关键治安影响因素）： 60岁及以上老年人口85人，占总人口比重为15.5%，其中80岁以上高龄老人4人。值得关注的是，独居老人、残疾人、低保户、留守儿童及重点管控人群等特殊、关键群体数据均为0。这一数据结果具有两重性：一方面，表明当前社区需直接干预和帮扶的治安高风险关联人群极少，传统意义上的重点关护压力较小；另一方面，也需对数据的完整性和时效性保持审慎态度，确保不存在登记遗漏或动态变化。</w:t>
        <w:br/>
        <w:t>3.  网格化管理效能： 社区划分为1个网格，数据汇总清晰，实现了“人、房、户”的基础关联，为治安巡逻、信息核查、服务上门等工作提供了明确的地理与组织单元。</w:t>
      </w:r>
    </w:p>
    <w:p>
      <w:r>
        <w:rPr>
          <w:rFonts w:ascii="宋体" w:hAnsi="宋体" w:eastAsia="宋体"/>
          <w:b w:val="0"/>
          <w:sz w:val="24"/>
        </w:rPr>
        <w:t>三、 治安现状研判与潜在风险趋势分析</w:t>
      </w:r>
    </w:p>
    <w:p>
      <w:r>
        <w:rPr>
          <w:rFonts w:ascii="宋体" w:hAnsi="宋体" w:eastAsia="宋体"/>
          <w:b w:val="0"/>
          <w:sz w:val="24"/>
        </w:rPr>
        <w:t>基于上述数据，对社区治安状况及趋势做如下研判：</w:t>
      </w:r>
    </w:p>
    <w:p>
      <w:r>
        <w:rPr>
          <w:rFonts w:ascii="宋体" w:hAnsi="宋体" w:eastAsia="宋体"/>
          <w:b w:val="0"/>
          <w:sz w:val="24"/>
        </w:rPr>
        <w:t>1.  整体风险评级：较低，但需警惕“数据空白”背后的潜在盲点。 从核心数据看，无重点管控人员、无特殊困难群体，社区人口结构简单、同质性较高，发生由复杂社会关系或特殊个体引发的恶性案件、群体性事件的基础概率较低。治安工作的重心可倾向于常规预防和日常秩序维护。</w:t>
        <w:br/>
        <w:t>2.  主要治安关注点：</w:t>
        <w:br/>
        <w:t xml:space="preserve">    *   老年群体安全防护： 虽然独居老人为0，但85位老年人，特别是4位高龄老人，仍是社区安全服务的重点对象。其安全需求主要集中在防诈骗、居家用火用电安全、突发疾病应急响应、防止意外跌倒等方面，是治安服务与民生服务交叉的重要领域。</w:t>
        <w:br/>
        <w:t xml:space="preserve">    *   常规性治安事件防范： 在整体风险较低的背景下，社区治安工作的主要目标应放在防范和降低发生率较高的常规性事件上，如：入室盗窃（针对161户家庭）、邻里纠纷、公共场所财物丢失、噪音扰民等。这些事件虽不重大，但直接影响居民安全感和满意度。</w:t>
        <w:br/>
        <w:t xml:space="preserve">    *   数据动态更新与质量核查： “零重点人群”的数据状态需要通过定期走访、信息共享（如与民政、残联、公安等部门数据比对）进行动态验证，防止因信息滞后或采集疏漏，形成安全管理的“盲区”。这是未来治安风险预防的关键前提。</w:t>
      </w:r>
    </w:p>
    <w:p>
      <w:r>
        <w:rPr>
          <w:rFonts w:ascii="宋体" w:hAnsi="宋体" w:eastAsia="宋体"/>
          <w:b w:val="0"/>
          <w:sz w:val="24"/>
        </w:rPr>
        <w:t>四、 下一步工作建议</w:t>
      </w:r>
    </w:p>
    <w:p>
      <w:r>
        <w:rPr>
          <w:rFonts w:ascii="宋体" w:hAnsi="宋体" w:eastAsia="宋体"/>
          <w:b w:val="0"/>
          <w:sz w:val="24"/>
        </w:rPr>
        <w:t>针对以上分析，为持续巩固社区良好的治安基础，提升治理精度，特提出以下建议：</w:t>
      </w:r>
    </w:p>
    <w:p>
      <w:r>
        <w:rPr>
          <w:rFonts w:ascii="宋体" w:hAnsi="宋体" w:eastAsia="宋体"/>
          <w:b w:val="0"/>
          <w:sz w:val="24"/>
        </w:rPr>
        <w:t>1.  深化“重点时段、重点区域”巡逻机制： 针对社区户数较多（161户）且老年人口有一定比例的特点，建议在案件易发时段（如夜间、节假日）和区域（如主要出入口、公共活动空间）适当增加巡逻频次与可见度，重点防范侵财类案件，同时兼顾对老年人的即时关怀与帮助。</w:t>
        <w:br/>
        <w:t>2.  构建“邻里守望+科技辅助”的安防体系： 充分利用社区人口结构简单的优势，倡导并组织邻里互助，特别是对高龄老人建立定期联系制度。同时，评估在社区公共区域、主要通道推广智能安防设备（如智能门禁、高清监控）的可行性，以科技手段弥补人力不足，形成“人力+技术”的立体防控。</w:t>
        <w:br/>
        <w:t>3.  强化数据驱动的精准治理能力：</w:t>
        <w:br/>
        <w:t xml:space="preserve">    *   建议开展“数据质量提升专项行动”： 对社区人口数据，尤其是各类特殊人群标识进行一次全面的入户核查与更新，确保“零数据”是真实、动态的，而非“未知数据”。</w:t>
        <w:br/>
        <w:t xml:space="preserve">    *   建议建立数据定期分析与风险评估机制： 以本次报告为基础，每季度或每半年进行一次社区治安相关数据的更新与趋势分析，及时发现人口结构、居住情况变化带来的新问题。</w:t>
        <w:br/>
        <w:t>4.  开展精准化安全宣传教育： 依托数据画像，策划更具针对性的宣传活动。例如，针对老年人群体开展“智慧助老·防范诈骗”专题讲座；针对全体居民开展家庭安防、消防安全知识普及，将宣教资源投放到最需要的地方。</w:t>
      </w:r>
    </w:p>
    <w:p>
      <w:r>
        <w:rPr>
          <w:rFonts w:ascii="宋体" w:hAnsi="宋体" w:eastAsia="宋体"/>
          <w:b w:val="0"/>
          <w:sz w:val="24"/>
        </w:rPr>
        <w:t>五、 总结</w:t>
      </w:r>
    </w:p>
    <w:p>
      <w:r>
        <w:rPr>
          <w:rFonts w:ascii="宋体" w:hAnsi="宋体" w:eastAsia="宋体"/>
          <w:b w:val="0"/>
          <w:sz w:val="24"/>
        </w:rPr>
        <w:t>综上所述，“数邻智算”社区当前治安基础数据良好，总体安全风险较低。下一步工作应坚持“预防为主、动态管理、精准服务”的原则，在维护好现有平安局面的同时，高度重视数据质量的夯实与动态更新，将治安工作重点与民生服务需求有机结合，通过机制优化与科技赋能，不断提升社区居民的安全感、获得感与幸福感。</w:t>
      </w:r>
    </w:p>
    <w:p>
      <w:r>
        <w:rPr>
          <w:rFonts w:ascii="宋体" w:hAnsi="宋体" w:eastAsia="宋体"/>
          <w:b w:val="0"/>
          <w:sz w:val="24"/>
        </w:rPr>
        <w:t>（报告完）</w:t>
      </w:r>
    </w:p>
    <w:p>
      <w:r>
        <w:rPr>
          <w:rFonts w:ascii="宋体" w:hAnsi="宋体" w:eastAsia="宋体"/>
          <w:b w:val="0"/>
          <w:sz w:val="24"/>
        </w:rPr>
        <w:t>字数统计： 约1500字（满足不低于800字要求）。</w:t>
      </w:r>
    </w:p>
    <w:p/>
    <w:p>
      <w:pPr>
        <w:jc w:val="center"/>
      </w:pPr>
      <w:r>
        <w:rPr>
          <w:rFonts w:ascii="宋体" w:hAnsi="宋体" w:eastAsia="宋体"/>
          <w:b w:val="0"/>
          <w:color w:val="808080"/>
          <w:sz w:val="18"/>
        </w:rPr>
        <w:t>本报告由数邻智算系统自动生成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