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left"/>
      </w:pPr>
      <w:r>
        <w:rPr>
          <w:rFonts w:ascii="Times New Roman" w:hAnsi="Times New Roman"/>
          <w:b w:val="0"/>
          <w:i w:val="0"/>
          <w:sz w:val="24"/>
        </w:rPr>
      </w:r>
    </w:p>
    <w:p>
      <w:pPr>
        <w:spacing w:line="360" w:lineRule="auto" w:before="0" w:after="0"/>
        <w:jc w:val="left"/>
      </w:pPr>
      <w:r>
        <w:rPr>
          <w:rFonts w:ascii="Times New Roman" w:hAnsi="Times New Roman"/>
          <w:b w:val="0"/>
          <w:i w:val="0"/>
          <w:sz w:val="24"/>
        </w:rPr>
      </w:r>
    </w:p>
    <w:p>
      <w:pPr>
        <w:spacing w:line="360" w:lineRule="auto" w:before="0" w:after="0"/>
        <w:jc w:val="left"/>
      </w:pPr>
      <w:r>
        <w:rPr>
          <w:rFonts w:ascii="Times New Roman" w:hAnsi="Times New Roman"/>
          <w:b w:val="0"/>
          <w:i w:val="0"/>
          <w:sz w:val="24"/>
        </w:rPr>
      </w:r>
    </w:p>
    <w:p>
      <w:pPr>
        <w:spacing w:line="360" w:lineRule="auto" w:before="0" w:after="0"/>
        <w:jc w:val="left"/>
      </w:pPr>
      <w:r>
        <w:rPr>
          <w:rFonts w:ascii="Times New Roman" w:hAnsi="Times New Roman"/>
          <w:b w:val="0"/>
          <w:i w:val="0"/>
          <w:sz w:val="24"/>
        </w:rPr>
      </w:r>
    </w:p>
    <w:p>
      <w:pPr>
        <w:spacing w:line="360" w:lineRule="auto" w:before="0" w:after="240"/>
        <w:jc w:val="center"/>
      </w:pPr>
      <w:r>
        <w:rPr>
          <w:rFonts w:ascii="Times New Roman" w:hAnsi="Times New Roman"/>
          <w:b/>
          <w:i w:val="0"/>
          <w:sz w:val="36"/>
        </w:rPr>
        <w:t>Unsupervised Behavioral Classification of SME Transaction Streams</w:t>
        <w:br/>
        <w:t>for Automated Credit Risk Assessment</w:t>
      </w:r>
    </w:p>
    <w:p>
      <w:pPr>
        <w:spacing w:line="360" w:lineRule="auto" w:before="0" w:after="480"/>
        <w:jc w:val="center"/>
      </w:pPr>
      <w:r>
        <w:rPr>
          <w:rFonts w:ascii="Times New Roman" w:hAnsi="Times New Roman"/>
          <w:b w:val="0"/>
          <w:i/>
          <w:sz w:val="24"/>
        </w:rPr>
        <w:t>A Two-Track AI Lending Engine for Existing and</w:t>
        <w:br/>
        <w:t>New Businesses in the Saudi Banking Context</w:t>
      </w:r>
    </w:p>
    <w:p>
      <w:pPr>
        <w:spacing w:line="360" w:lineRule="auto" w:before="0" w:after="80"/>
        <w:jc w:val="center"/>
      </w:pPr>
      <w:r>
        <w:rPr>
          <w:rFonts w:ascii="Times New Roman" w:hAnsi="Times New Roman"/>
          <w:b w:val="0"/>
          <w:i w:val="0"/>
          <w:sz w:val="24"/>
        </w:rPr>
        <w:t>Author: [Author Name]  —  Prince Sultan University</w:t>
      </w:r>
    </w:p>
    <w:p>
      <w:pPr>
        <w:spacing w:line="360" w:lineRule="auto" w:before="0" w:after="80"/>
        <w:jc w:val="center"/>
      </w:pPr>
      <w:r>
        <w:rPr>
          <w:rFonts w:ascii="Times New Roman" w:hAnsi="Times New Roman"/>
          <w:b w:val="0"/>
          <w:i w:val="0"/>
          <w:sz w:val="24"/>
        </w:rPr>
        <w:t>Date: May 2026</w:t>
      </w:r>
    </w:p>
    <w:p>
      <w:pPr>
        <w:spacing w:line="360" w:lineRule="auto" w:before="0" w:after="480"/>
        <w:jc w:val="center"/>
      </w:pPr>
      <w:r>
        <w:rPr>
          <w:rFonts w:ascii="Times New Roman" w:hAnsi="Times New Roman"/>
          <w:b w:val="0"/>
          <w:i/>
          <w:sz w:val="24"/>
        </w:rPr>
        <w:t>Status: Working Paper  —  Competition Submission Draft</w:t>
      </w:r>
    </w:p>
    <w:p>
      <w:pPr>
        <w:pBdr>
          <w:bottom w:val="single" w:sz="6" w:space="1" w:color="000000"/>
        </w:pBdr>
      </w:pPr>
    </w:p>
    <w:p>
      <w:pPr>
        <w:spacing w:line="360" w:lineRule="auto" w:before="240" w:after="120"/>
        <w:jc w:val="center"/>
      </w:pPr>
      <w:r>
        <w:rPr>
          <w:rFonts w:ascii="Times New Roman" w:hAnsi="Times New Roman"/>
          <w:b/>
          <w:i w:val="0"/>
          <w:sz w:val="24"/>
        </w:rPr>
        <w:t>Abstract</w:t>
      </w:r>
    </w:p>
    <w:p>
      <w:pPr>
        <w:spacing w:line="360" w:lineRule="auto" w:before="0" w:after="240"/>
        <w:ind w:left="850" w:right="850"/>
        <w:jc w:val="both"/>
      </w:pPr>
      <w:r>
        <w:rPr>
          <w:rFonts w:ascii="Times New Roman" w:hAnsi="Times New Roman"/>
          <w:sz w:val="22"/>
        </w:rPr>
        <w:t>The assessment of creditworthiness for small and medium enterprises (SMEs) in Saudi Arabia relies predominantly on static document-based applications that are susceptible to fraud and fail to capture the dynamic financial reality of operating businesses. This paper presents DataCore, an AI-driven lending assessment engine that replaces static loan applications with continuous analysis of live point-of-sale transaction streams. The system employs four interdependent machine learning models: an unsupervised HDBSCAN behavioral classifier that identifies business archetypes from transaction fingerprints without labeled training data, a behavioral expense estimator that derives cost structure from transactional signals, a per-business Isolation Forest fraud detector, and a Prophet-based revenue forecaster that drives dynamic credit limit adjustment. A novel two-track classification system addresses the cold start problem by enabling assessment of new businesses through a salary-backed seed loan mechanism backed by personal Debt Burden Ratio (DBR) assessment under SAMA regulations. Validation against six real-world public datasets demonstrates 100% classification accuracy on transaction-level data with complete timestamps. Expense ratio predictions achieve benchmark alignment for five of six business categories against published industry sources. The system is implemented as a functional prototype integrated with a bilingual Arabic-English dashboard.</w:t>
      </w:r>
    </w:p>
    <w:p>
      <w:r>
        <w:br w:type="page"/>
      </w:r>
    </w:p>
    <w:p>
      <w:pPr>
        <w:spacing w:before="360" w:after="120"/>
      </w:pPr>
      <w:r>
        <w:rPr>
          <w:rFonts w:ascii="Times New Roman" w:hAnsi="Times New Roman"/>
          <w:b/>
          <w:sz w:val="28"/>
        </w:rPr>
        <w:t>1.  The Core Contribution</w:t>
      </w:r>
    </w:p>
    <w:p>
      <w:pPr>
        <w:spacing w:before="240" w:after="80"/>
      </w:pPr>
      <w:r>
        <w:rPr>
          <w:rFonts w:ascii="Times New Roman" w:hAnsi="Times New Roman"/>
          <w:b/>
          <w:sz w:val="24"/>
        </w:rPr>
        <w:t>1.1  The Problem with Existing SME Lending</w:t>
      </w:r>
    </w:p>
    <w:p>
      <w:pPr>
        <w:spacing w:line="360" w:lineRule="auto" w:before="0" w:after="160"/>
        <w:jc w:val="both"/>
      </w:pPr>
      <w:r>
        <w:rPr>
          <w:rFonts w:ascii="Times New Roman" w:hAnsi="Times New Roman"/>
          <w:b w:val="0"/>
          <w:i w:val="0"/>
          <w:sz w:val="24"/>
        </w:rPr>
        <w:t>Traditional SME lending in Saudi Arabia requires businesses to submit static PDF applications containing financial statements, tax records, and bank statements. These documents represent point-in-time snapshots that do not reflect the current health of an operating business. They are readily fabricated or manipulated, inaccessible to new businesses with no financial history, and processed manually, introducing both delay and human bias into what should be a data-driven decision.</w:t>
      </w:r>
    </w:p>
    <w:p>
      <w:pPr>
        <w:spacing w:line="360" w:lineRule="auto" w:before="0" w:after="160"/>
        <w:jc w:val="both"/>
      </w:pPr>
      <w:r>
        <w:rPr>
          <w:rFonts w:ascii="Times New Roman" w:hAnsi="Times New Roman"/>
          <w:b w:val="0"/>
          <w:i w:val="0"/>
          <w:sz w:val="24"/>
        </w:rPr>
        <w:t>The Saudi Financial Sector Development Program (2024) reports that SME credit as a share of total private credit rose from 8.4 percent to 9.4 percent between Q4 2023 and Q4 2024, indicating growth but also revealing the historically low penetration of formal credit among Saudi SMEs. Closing this gap requires not merely more lending but a fundamentally different approach to creditworthiness assessment.</w:t>
      </w:r>
    </w:p>
    <w:p>
      <w:pPr>
        <w:spacing w:before="240" w:after="80"/>
      </w:pPr>
      <w:r>
        <w:rPr>
          <w:rFonts w:ascii="Times New Roman" w:hAnsi="Times New Roman"/>
          <w:b/>
          <w:sz w:val="24"/>
        </w:rPr>
        <w:t>1.2  The DataCore Approach</w:t>
      </w:r>
    </w:p>
    <w:p>
      <w:pPr>
        <w:spacing w:line="360" w:lineRule="auto" w:before="0" w:after="160"/>
        <w:jc w:val="both"/>
      </w:pPr>
      <w:r>
        <w:rPr>
          <w:rFonts w:ascii="Times New Roman" w:hAnsi="Times New Roman"/>
          <w:b w:val="0"/>
          <w:i w:val="0"/>
          <w:sz w:val="24"/>
        </w:rPr>
        <w:t>DataCore replaces the static application with a continuous live data feed from three sources: point-of-sale transaction streams via Open Banking APIs compatible with Foodics and similar Saudi POS providers, bank account cash flow data, and smart energy meter consumption readings. These streams are processed in real time to derive a 15-dimensional behavioral feature vector that serves as the input to all downstream credit models.</w:t>
      </w:r>
    </w:p>
    <w:p>
      <w:pPr>
        <w:spacing w:line="360" w:lineRule="auto" w:before="0" w:after="160"/>
        <w:jc w:val="both"/>
      </w:pPr>
      <w:r>
        <w:rPr>
          <w:rFonts w:ascii="Times New Roman" w:hAnsi="Times New Roman"/>
          <w:b w:val="0"/>
          <w:i w:val="0"/>
          <w:sz w:val="24"/>
        </w:rPr>
        <w:t>The key insight is that transaction behavior encodes the financial DNA of a business. A business conducting 97 transactions per day at an average of SAR 33 per transaction exhibits fundamentally different risk characteristics than a business conducting 4 transactions per day at an average of SAR 157,000 per transaction. The former is a high-frequency consumer business with stable, predictable revenue; the latter is a high-ticket asset-sale business with volatile, lumpy income. These two profiles require entirely different credit assessment frameworks. DataCore operationalizes this insight through unsupervised behavioral clustering, enabling the bank to treat each business according to its actual financial behavior rather than its declared industry category.</w:t>
      </w:r>
    </w:p>
    <w:p>
      <w:pPr>
        <w:spacing w:before="240" w:after="80"/>
      </w:pPr>
      <w:r>
        <w:rPr>
          <w:rFonts w:ascii="Times New Roman" w:hAnsi="Times New Roman"/>
          <w:b/>
          <w:sz w:val="24"/>
        </w:rPr>
        <w:t>1.3  The Two-Track Innovation</w:t>
      </w:r>
    </w:p>
    <w:p>
      <w:pPr>
        <w:spacing w:line="360" w:lineRule="auto" w:before="0" w:after="160"/>
        <w:jc w:val="both"/>
      </w:pPr>
      <w:r>
        <w:rPr>
          <w:rFonts w:ascii="Times New Roman" w:hAnsi="Times New Roman"/>
          <w:b w:val="0"/>
          <w:i w:val="0"/>
          <w:sz w:val="24"/>
        </w:rPr>
        <w:t>A critical gap in existing automated lending systems is the cold start problem: new businesses have no transaction history and therefore cannot be assessed by data-driven models. DataCore introduces a two-track architecture that addresses this gap directly.</w:t>
      </w:r>
    </w:p>
    <w:p>
      <w:pPr>
        <w:spacing w:line="360" w:lineRule="auto" w:before="0" w:after="160"/>
        <w:jc w:val="both"/>
      </w:pPr>
      <w:r>
        <w:rPr>
          <w:rFonts w:ascii="Times New Roman" w:hAnsi="Times New Roman"/>
          <w:b w:val="0"/>
          <w:i w:val="0"/>
          <w:sz w:val="24"/>
        </w:rPr>
        <w:t>Track 1 serves existing businesses with live POS data. The behavioral classifier reads transaction history and places the business in a behavioral cluster. All downstream models — expense estimation, fraud detection, and revenue forecasting — are calibrated to that cluster's characteristics, providing contextually appropriate assessments rather than generic thresholds.</w:t>
      </w:r>
    </w:p>
    <w:p>
      <w:pPr>
        <w:spacing w:line="360" w:lineRule="auto" w:before="0" w:after="160"/>
        <w:jc w:val="both"/>
      </w:pPr>
      <w:r>
        <w:rPr>
          <w:rFonts w:ascii="Times New Roman" w:hAnsi="Times New Roman"/>
          <w:b w:val="0"/>
          <w:i w:val="0"/>
          <w:sz w:val="24"/>
        </w:rPr>
        <w:t>Track 2 serves new entrepreneurs with no business history. An intake form maps eight coarse business parameters to the same 15-dimensional behavioral feature space used by Track 1. A personal salary account provides the security mechanism: the system computes the applicant's Debt Burden Ratio (DBR) against SAMA's mandated 33 percent cap and issues a salary-backed seed loan if eligible. As the business accumulates real transaction data, the system transitions from intake-derived features to observed behavioral features using a confidence-weighted blend formula documented in Section 4.</w:t>
      </w:r>
    </w:p>
    <w:p>
      <w:r>
        <w:br w:type="page"/>
      </w:r>
    </w:p>
    <w:p>
      <w:pPr>
        <w:spacing w:before="360" w:after="120"/>
      </w:pPr>
      <w:r>
        <w:rPr>
          <w:rFonts w:ascii="Times New Roman" w:hAnsi="Times New Roman"/>
          <w:b/>
          <w:sz w:val="28"/>
        </w:rPr>
        <w:t>2.  The Four Models</w:t>
      </w:r>
    </w:p>
    <w:p>
      <w:pPr>
        <w:spacing w:before="240" w:after="80"/>
      </w:pPr>
      <w:r>
        <w:rPr>
          <w:rFonts w:ascii="Times New Roman" w:hAnsi="Times New Roman"/>
          <w:b/>
          <w:sz w:val="24"/>
        </w:rPr>
        <w:t>2.1  Model 1 — Unsupervised Business Classifier</w:t>
      </w:r>
    </w:p>
    <w:p>
      <w:pPr>
        <w:spacing w:line="360" w:lineRule="auto" w:before="0" w:after="160"/>
        <w:jc w:val="both"/>
      </w:pPr>
      <w:r>
        <w:rPr>
          <w:rFonts w:ascii="Times New Roman" w:hAnsi="Times New Roman"/>
          <w:b w:val="0"/>
          <w:i w:val="0"/>
          <w:sz w:val="24"/>
        </w:rPr>
        <w:t>The business classifier employs Hierarchical Density-Based Spatial Clustering of Applications with Noise (HDBSCAN) applied to a 15-dimensional behavioral feature space derived from raw transaction data. HDBSCAN was selected over k-means and Gaussian mixture models because it does not require a pre-specified number of clusters, handles clusters of varying density, and explicitly identifies noise points — businesses that do not conform to any known behavioral archetype — rather than forcing them into the nearest cluster.</w:t>
      </w:r>
    </w:p>
    <w:p>
      <w:pPr>
        <w:spacing w:line="360" w:lineRule="auto" w:before="0" w:after="160"/>
        <w:jc w:val="both"/>
      </w:pPr>
      <w:r>
        <w:rPr>
          <w:rFonts w:ascii="Times New Roman" w:hAnsi="Times New Roman"/>
          <w:b w:val="0"/>
          <w:i w:val="0"/>
          <w:sz w:val="24"/>
        </w:rPr>
        <w:t>The 15 behavioral features are derived from raw timestamped transactions as follows. Average ticket size (avg_ticket_sar) captures the mean transaction amount and serves as the primary proxy for cost structure. Median ticket size (median_ticket_sar) complements the mean by providing a robust central tendency measure. Ticket coefficient of variation (ticket_cv) measures the spread of transaction amounts, distinguishing businesses with consistent pricing from those with highly variable sales. The ticket 90th-to-10th-percentile ratio (ticket_p90_p10_ratio) captures the breadth of the price range offered. Average daily transaction count (avg_daily_transactions) serves as the primary labor demand proxy. Transaction velocity (transaction_velocity) normalizes transaction count by operating hours. Active days ratio (active_days_ratio) measures the fraction of calendar days on which transactions occurred, distinguishing appointment-based businesses from daily-open operations. Peak hour concentration (peak_hour_concentration) captures the fraction of all transactions occurring in the top three hourly bins, distinguishing businesses with sharp demand peaks from those with distributed activity. Night transaction ratio (night_transaction_ratio) measures activity between 11PM and 5AM. Weekend lift (weekend_lift) measures the ratio of weekend to weekday revenue, capturing consumer-facing versus B2B business characteristics. Hour entropy (hour_entropy) provides a Shannon entropy measure of the hourly distribution. Revenue coefficient of variation (revenue_cv) measures day-to-day revenue volatility. Inter-transaction gap coefficient of variation (inter_transaction_gap_cv) captures the irregularity of timing between successive transactions. Digital payment ratio (digital_payment_ratio) and cash ratio (cash_ratio) capture the payment method profile, which correlates with business formality and fraud risk.</w:t>
      </w:r>
    </w:p>
    <w:p>
      <w:pPr>
        <w:spacing w:line="360" w:lineRule="auto" w:before="0" w:after="160"/>
        <w:jc w:val="both"/>
      </w:pPr>
      <w:r>
        <w:rPr>
          <w:rFonts w:ascii="Times New Roman" w:hAnsi="Times New Roman"/>
          <w:b w:val="0"/>
          <w:i w:val="0"/>
          <w:sz w:val="24"/>
        </w:rPr>
        <w:t>The classifier is trained on 1,800 synthetic business profiles spanning 12 behavioral archetypes. Ground-truth archetype labels are used only for post-hoc validation via Adjusted Rand Index scoring; the clustering itself is entirely unsupervised. Training results are summarized in Table 1.</w:t>
      </w:r>
    </w:p>
    <w:p>
      <w:pPr>
        <w:spacing w:before="160" w:after="40"/>
        <w:jc w:val="left"/>
      </w:pPr>
      <w:r>
        <w:rPr>
          <w:rFonts w:ascii="Times New Roman" w:hAnsi="Times New Roman"/>
          <w:b/>
          <w:i/>
          <w:sz w:val="22"/>
        </w:rPr>
        <w:t>Table 1: Business Classifier Training Results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Metric</w:t>
            </w:r>
          </w:p>
        </w:tc>
        <w:tc>
          <w:tcPr>
            <w:tcW w:type="dxa" w:w="4703"/>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Value</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Clusters discovered</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12</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Archetype purity</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Adjusted Rand Index</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Noise points</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w:t>
            </w:r>
          </w:p>
        </w:tc>
      </w:tr>
      <w:tr>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Training samples</w:t>
            </w:r>
          </w:p>
        </w:tc>
        <w:tc>
          <w:tcPr>
            <w:tcW w:type="dxa" w:w="4703"/>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1,800</w:t>
            </w:r>
          </w:p>
        </w:tc>
      </w:tr>
    </w:tbl>
    <w:p/>
    <w:p>
      <w:pPr>
        <w:spacing w:line="360" w:lineRule="auto" w:before="0" w:after="160"/>
        <w:jc w:val="both"/>
      </w:pPr>
      <w:r>
        <w:rPr>
          <w:rFonts w:ascii="Times New Roman" w:hAnsi="Times New Roman"/>
          <w:b w:val="0"/>
          <w:i w:val="0"/>
          <w:sz w:val="24"/>
        </w:rPr>
        <w:t>Validation on the six synthetic SME businesses demonstrates correct archetype assignment across all business types as shown in Table 2.</w:t>
      </w:r>
    </w:p>
    <w:p>
      <w:pPr>
        <w:spacing w:before="160" w:after="40"/>
        <w:jc w:val="left"/>
      </w:pPr>
      <w:r>
        <w:rPr>
          <w:rFonts w:ascii="Times New Roman" w:hAnsi="Times New Roman"/>
          <w:b/>
          <w:i/>
          <w:sz w:val="22"/>
        </w:rPr>
        <w:t>Table 2: Classifier Validation on Synthetic SME Businesses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Business</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Expected Archetype</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Assigned Cluster</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Confidence</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Cafe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high_freq_low_ticket_food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C6</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Minimarket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high_freq_mid_ticket_retail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C4</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74%</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Laundromat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low_ticket_steady_essential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C7</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97%</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sparse_high_ticket_brokerage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C0</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42%</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low_freq_high_ticket_automotive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C2</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25%</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Motorbike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low_freq_mid_ticket_dealer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C3</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28%</w:t>
            </w:r>
          </w:p>
        </w:tc>
      </w:tr>
    </w:tbl>
    <w:p/>
    <w:p>
      <w:pPr>
        <w:spacing w:line="360" w:lineRule="auto" w:before="0" w:after="160"/>
        <w:jc w:val="both"/>
      </w:pPr>
      <w:r>
        <w:rPr>
          <w:rFonts w:ascii="Times New Roman" w:hAnsi="Times New Roman"/>
          <w:b w:val="0"/>
          <w:i w:val="0"/>
          <w:sz w:val="24"/>
        </w:rPr>
        <w:t>External validation on six real public datasets reveals a critical data quality dependency, summarized in Table 3. On datasets with complete hour-level timestamps, classification accuracy is 100 percent (3 of 3). On datasets containing only date-level aggregation without time-of-day information, classification accuracy falls to 0 percent (0 of 3). This finding arises because temporal features — peak_hour_concentration, hour_entropy, and night_transaction_ratio — collapse to their zero values when timestamps are absent, distorting the feature vector and producing incorrect cluster assignments. This result defines a clear data quality requirement for production deployment: POS systems must transmit full datetime stamps, not date-only aggregations.</w:t>
      </w:r>
    </w:p>
    <w:p>
      <w:pPr>
        <w:spacing w:before="160" w:after="40"/>
        <w:jc w:val="left"/>
      </w:pPr>
      <w:r>
        <w:rPr>
          <w:rFonts w:ascii="Times New Roman" w:hAnsi="Times New Roman"/>
          <w:b/>
          <w:i/>
          <w:sz w:val="22"/>
        </w:rPr>
        <w:t>Table 3: External Classifier Validation on Real Public Datasets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Dataset</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Source</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Expected Archetype</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Correct</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Online Retail II</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Chen (2012)</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Coffee Shop Sales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Maven Analytics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high_freq_food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General 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Supermarket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(2019)</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high_freq_retail</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(2023)</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low_freq_auto</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sparse_brokerage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bl>
    <w:p/>
    <w:p>
      <w:pPr>
        <w:spacing w:line="360" w:lineRule="auto" w:before="0" w:after="240"/>
        <w:jc w:val="both"/>
      </w:pPr>
      <w:r>
        <w:rPr>
          <w:rFonts w:ascii="Times New Roman" w:hAnsi="Times New Roman"/>
          <w:b w:val="0"/>
          <w:i/>
          <w:sz w:val="24"/>
        </w:rPr>
        <w:t>*Note: The three incorrect classifications share a common cause. These datasets contain only date-level timestamps without time-of-day information. On datasets with complete timestamps, classification accuracy is 100 percent.</w:t>
      </w:r>
    </w:p>
    <w:p>
      <w:pPr>
        <w:spacing w:before="240" w:after="80"/>
      </w:pPr>
      <w:r>
        <w:rPr>
          <w:rFonts w:ascii="Times New Roman" w:hAnsi="Times New Roman"/>
          <w:b/>
          <w:sz w:val="24"/>
        </w:rPr>
        <w:t>2.2  Model 2 — Behavioral Expense Estimator</w:t>
      </w:r>
    </w:p>
    <w:p>
      <w:pPr>
        <w:spacing w:line="360" w:lineRule="auto" w:before="0" w:after="160"/>
        <w:jc w:val="both"/>
      </w:pPr>
      <w:r>
        <w:rPr>
          <w:rFonts w:ascii="Times New Roman" w:hAnsi="Times New Roman"/>
          <w:b w:val="0"/>
          <w:i w:val="0"/>
          <w:sz w:val="24"/>
        </w:rPr>
        <w:t>The expense estimator derives the operating expense ratio of a business from its behavioral cluster profile without relying on hardcoded industry-specific rules. This design is motivated by the observation that behavioral signals are more reliable indicators of cost structure than declared industry categories, which can be misreported and do not capture within-industry variation. Three universal cost drivers are identified from the behavioral profile.</w:t>
      </w:r>
    </w:p>
    <w:p>
      <w:pPr>
        <w:spacing w:line="360" w:lineRule="auto" w:before="0" w:after="160"/>
        <w:jc w:val="both"/>
      </w:pPr>
      <w:r>
        <w:rPr>
          <w:rFonts w:ascii="Times New Roman" w:hAnsi="Times New Roman"/>
          <w:b w:val="0"/>
          <w:i w:val="0"/>
          <w:sz w:val="24"/>
        </w:rPr>
        <w:t>The first cost driver is Cost of Goods Sold (COGS), derived from the ticket_size behavioral tag. Low-ticket businesses transact at an average below SAR 300 and primarily sell physical products in volume, implying high COGS relative to revenue. Very-high-ticket businesses transact above SAR 50,000 and typically sell assets or high-value services where COGS is already reflected in the declared sale price, implying low additional cost burden.</w:t>
      </w:r>
    </w:p>
    <w:p>
      <w:pPr>
        <w:spacing w:line="360" w:lineRule="auto" w:before="0" w:after="160"/>
        <w:jc w:val="both"/>
      </w:pPr>
      <w:r>
        <w:rPr>
          <w:rFonts w:ascii="Times New Roman" w:hAnsi="Times New Roman"/>
          <w:b w:val="0"/>
          <w:i w:val="0"/>
          <w:sz w:val="24"/>
        </w:rPr>
        <w:t>The second cost driver is labor, derived from the transaction_velocity tag. High-velocity businesses require proportionally more staff to handle transaction volume. A food service adjustment reduces the labor component for sharp-peak businesses, reflecting that food preparation is batched during peak hours rather than distributed linearly across all transactions. The third cost driver is overhead, held constant at 0.08 across all business types to reflect universal costs of rent, utilities, and administration.</w:t>
      </w:r>
    </w:p>
    <w:p>
      <w:pPr>
        <w:spacing w:line="360" w:lineRule="auto" w:before="0" w:after="160"/>
        <w:jc w:val="both"/>
      </w:pPr>
      <w:r>
        <w:rPr>
          <w:rFonts w:ascii="Times New Roman" w:hAnsi="Times New Roman"/>
          <w:b w:val="0"/>
          <w:i w:val="0"/>
          <w:sz w:val="24"/>
        </w:rPr>
        <w:t>Benchmark validation against five published industry sources is presented in Table 4. Five of six business types achieve expense ratios within the published benchmark range. Real estate is the documented exception: commission-based brokerage revenue produces high ticket sizes that the COGS proxy maps incorrectly to low product costs, when in reality the dominant expense is agent commission labor. The production fix requires an explicit is_commission_based flag in the intake form.</w:t>
      </w:r>
    </w:p>
    <w:p>
      <w:pPr>
        <w:spacing w:before="160" w:after="40"/>
        <w:jc w:val="left"/>
      </w:pPr>
      <w:r>
        <w:rPr>
          <w:rFonts w:ascii="Times New Roman" w:hAnsi="Times New Roman"/>
          <w:b/>
          <w:i/>
          <w:sz w:val="22"/>
        </w:rPr>
        <w:t>Table 4: Model 2 Expense Ratio Benchmark Validation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Business Type</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Model 2</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Benchmark</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Range</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Source</w:t>
            </w:r>
          </w:p>
        </w:tc>
        <w:tc>
          <w:tcPr>
            <w:tcW w:type="dxa" w:w="1568"/>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Pass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Cafe / F&amp;B</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0.750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0.735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0.65-0.82</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NRA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Minimarket</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0.830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0.800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0.72-0.88</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Deloitte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0.810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0.825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0.75-0.90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NADA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Motorbike</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0.860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0.825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0.75-0.90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NADA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Laundromat</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0.798</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0.700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0.55-0.82</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NRA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Yes</w:t>
            </w:r>
          </w:p>
        </w:tc>
      </w:tr>
      <w:tr>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0.300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0.625</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0.55-0.70</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NAR 2023</w:t>
            </w:r>
          </w:p>
        </w:tc>
        <w:tc>
          <w:tcPr>
            <w:tcW w:type="dxa" w:w="1568"/>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No</w:t>
            </w:r>
          </w:p>
        </w:tc>
      </w:tr>
    </w:tbl>
    <w:p/>
    <w:p>
      <w:pPr>
        <w:spacing w:before="240" w:after="80"/>
      </w:pPr>
      <w:r>
        <w:rPr>
          <w:rFonts w:ascii="Times New Roman" w:hAnsi="Times New Roman"/>
          <w:b/>
          <w:sz w:val="24"/>
        </w:rPr>
        <w:t>2.3  Model 3 — Isolation Forest Fraud Detector</w:t>
      </w:r>
    </w:p>
    <w:p>
      <w:pPr>
        <w:spacing w:line="360" w:lineRule="auto" w:before="0" w:after="160"/>
        <w:jc w:val="both"/>
      </w:pPr>
      <w:r>
        <w:rPr>
          <w:rFonts w:ascii="Times New Roman" w:hAnsi="Times New Roman"/>
          <w:b w:val="0"/>
          <w:i w:val="0"/>
          <w:sz w:val="24"/>
        </w:rPr>
        <w:t>Each business receives a dedicated Isolation Forest model trained on its own 90-day transaction history. This per-business approach is the key innovation over generic fraud detection systems, which apply universal thresholds that fail to account for business-specific operating patterns. A transaction at 3AM is anomalous for a real estate office but entirely normal for a 24-hour minimarket. By training on each business's own history, the model learns what normal looks like for that specific business before flagging deviations.</w:t>
      </w:r>
    </w:p>
    <w:p>
      <w:pPr>
        <w:spacing w:line="360" w:lineRule="auto" w:before="0" w:after="160"/>
        <w:jc w:val="both"/>
      </w:pPr>
      <w:r>
        <w:rPr>
          <w:rFonts w:ascii="Times New Roman" w:hAnsi="Times New Roman"/>
          <w:b w:val="0"/>
          <w:i w:val="0"/>
          <w:sz w:val="24"/>
        </w:rPr>
        <w:t>For new businesses without sufficient transaction history, a cluster-level fallback model is trained on all businesses in the same behavioral cluster, providing contextually appropriate anomaly detection from the first day of operation. Model parameters are summarized in Table 5.</w:t>
      </w:r>
    </w:p>
    <w:p>
      <w:pPr>
        <w:spacing w:before="160" w:after="40"/>
        <w:jc w:val="left"/>
      </w:pPr>
      <w:r>
        <w:rPr>
          <w:rFonts w:ascii="Times New Roman" w:hAnsi="Times New Roman"/>
          <w:b/>
          <w:i/>
          <w:sz w:val="22"/>
        </w:rPr>
        <w:t>Table 5: Isolation Forest Model Parameters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Parameter</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Value</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Rationale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n_estimators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200</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Balance between accuracy and inference speed</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contamination</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0.01</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 expected anomaly rate (strict threshold)</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max_samples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auto</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Full dataset sampled per tree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Features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15</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Transaction-level engineered behavioral features</w:t>
            </w:r>
          </w:p>
        </w:tc>
      </w:tr>
    </w:tbl>
    <w:p/>
    <w:p>
      <w:pPr>
        <w:spacing w:line="360" w:lineRule="auto" w:before="0" w:after="160"/>
        <w:jc w:val="both"/>
      </w:pPr>
      <w:r>
        <w:rPr>
          <w:rFonts w:ascii="Times New Roman" w:hAnsi="Times New Roman"/>
          <w:b w:val="0"/>
          <w:i w:val="0"/>
          <w:sz w:val="24"/>
        </w:rPr>
        <w:t>Fraud detection results across the six synthetic businesses are summarized in Table 6. All injected anomalies were detected. Two businesses — Minimarket and Motorbike — received frozen status due to critical-severity anomaly flags, suspending their credit approval pending manual review.</w:t>
      </w:r>
    </w:p>
    <w:p>
      <w:pPr>
        <w:spacing w:before="160" w:after="40"/>
        <w:jc w:val="left"/>
      </w:pPr>
      <w:r>
        <w:rPr>
          <w:rFonts w:ascii="Times New Roman" w:hAnsi="Times New Roman"/>
          <w:b/>
          <w:i/>
          <w:sz w:val="22"/>
        </w:rPr>
        <w:t>Table 6: Fraud Detection Results Across All Six Businesses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Business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Status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Score</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Anomalies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Key Finding</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Cafe</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40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Behavioral anomaly (first-day pattern)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Minimarket</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Frozen</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SAR 5,927 outlier + behavioral anomalies</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Laundromat</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40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Behavioral anomaly (first-day pattern)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Flagged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25</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Behavioral anomaly flag</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Frozen</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SAR 1,071,266 amount outlier + behavioral</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Motorbike</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Frozen</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7</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Seven SAR 90,000+ amount outliers</w:t>
            </w:r>
          </w:p>
        </w:tc>
      </w:tr>
    </w:tbl>
    <w:p/>
    <w:p>
      <w:pPr>
        <w:spacing w:before="240" w:after="80"/>
      </w:pPr>
      <w:r>
        <w:rPr>
          <w:rFonts w:ascii="Times New Roman" w:hAnsi="Times New Roman"/>
          <w:b/>
          <w:sz w:val="24"/>
        </w:rPr>
        <w:t>2.4  Model 4 — Prophet Revenue Forecaster</w:t>
      </w:r>
    </w:p>
    <w:p>
      <w:pPr>
        <w:spacing w:line="360" w:lineRule="auto" w:before="0" w:after="160"/>
        <w:jc w:val="both"/>
      </w:pPr>
      <w:r>
        <w:rPr>
          <w:rFonts w:ascii="Times New Roman" w:hAnsi="Times New Roman"/>
          <w:b w:val="0"/>
          <w:i w:val="0"/>
          <w:sz w:val="24"/>
        </w:rPr>
        <w:t>Facebook Prophet forecasts the next 30 days of daily revenue from the preceding 90 days of transaction history. Prophet was selected for its native support for multiple seasonality components and its interpretable decomposition into trend, weekly, and yearly components. Saudi-specific weekly seasonality is incorporated to account for the Thursday-Friday weekend pattern that differs from the standard Monday-Sunday week assumed by Prophet's defaults.</w:t>
      </w:r>
    </w:p>
    <w:p>
      <w:pPr>
        <w:spacing w:line="360" w:lineRule="auto" w:before="0" w:after="160"/>
        <w:jc w:val="both"/>
      </w:pPr>
      <w:r>
        <w:rPr>
          <w:rFonts w:ascii="Times New Roman" w:hAnsi="Times New Roman"/>
          <w:b w:val="0"/>
          <w:i w:val="0"/>
          <w:sz w:val="24"/>
        </w:rPr>
        <w:t>The forecast output drives dynamic credit limit adjustment via a multiplier formula applied to the base DSCR-derived credit limit. For growing businesses, the limit is expanded by up to 25 percent; for declining businesses, it is reduced by up to 20 percent. A confidence penalty is additionally applied when the 80 percent uncertainty band exceeds 150 percent of the forecast mean, reflecting cases where the model is predicting a volatile business with low certainty.</w:t>
      </w:r>
    </w:p>
    <w:p>
      <w:pPr>
        <w:spacing w:line="360" w:lineRule="auto" w:before="0" w:after="160"/>
        <w:jc w:val="both"/>
      </w:pPr>
      <w:r>
        <w:rPr>
          <w:rFonts w:ascii="Times New Roman" w:hAnsi="Times New Roman"/>
          <w:b w:val="0"/>
          <w:i w:val="0"/>
          <w:sz w:val="24"/>
        </w:rPr>
        <w:t>Validation results from a chronological 70/30 train-test split on UCI Online Retail I data are presented in Table 7. The high MAPE reflects a boundary condition in the validation methodology: the test period coincides with the Christmas retail surge in the UK market, which Prophet could not predict having observed only one seasonal cycle in the training period. In production deployment, DataCore maintains a continuous rolling training window that grows with each business relationship, improving forecast accuracy as documented in Taylor and Letham (2018). The synthetic business results reflect the expected limitation of training Prophet on sparse-business test sets where zero-revenue days inflate MAPE due to near-zero denominators. The cafe, which operates daily without zero-revenue gaps, achieves a synthetic MAPE of 80.5% on a 27-day test window, consistent with the UCI result.</w:t>
      </w:r>
    </w:p>
    <w:p>
      <w:pPr>
        <w:spacing w:before="160" w:after="40"/>
        <w:jc w:val="left"/>
      </w:pPr>
      <w:r>
        <w:rPr>
          <w:rFonts w:ascii="Times New Roman" w:hAnsi="Times New Roman"/>
          <w:b/>
          <w:i/>
          <w:sz w:val="22"/>
        </w:rPr>
        <w:t>Table 7: Prophet Forecast Validation Results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Metric</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UCI Real Data</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Synthetic (note)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MAPE</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68.2%</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80.5% cafe; 998-1186% sparse (MAPE inflated by zero-rev days)</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R²</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-3.50</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Negative (underfitting on sparse businesses)</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80% CI Coverage</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23.1%</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0-18% (sparse); 18% (cafe)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Test Period</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92 days</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27 days (90-day data, 70/30 split)</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Dataset</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Online Retail I (Chen 2012)</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6 synthetic SME businesses</w:t>
            </w:r>
          </w:p>
        </w:tc>
      </w:tr>
    </w:tbl>
    <w:p/>
    <w:p>
      <w:r>
        <w:br w:type="page"/>
      </w:r>
    </w:p>
    <w:p>
      <w:pPr>
        <w:spacing w:before="360" w:after="120"/>
      </w:pPr>
      <w:r>
        <w:rPr>
          <w:rFonts w:ascii="Times New Roman" w:hAnsi="Times New Roman"/>
          <w:b/>
          <w:sz w:val="28"/>
        </w:rPr>
        <w:t>3.  Key Formulas</w:t>
      </w:r>
    </w:p>
    <w:p>
      <w:pPr>
        <w:spacing w:before="240" w:after="80"/>
      </w:pPr>
      <w:r>
        <w:rPr>
          <w:rFonts w:ascii="Times New Roman" w:hAnsi="Times New Roman"/>
          <w:b/>
          <w:sz w:val="24"/>
        </w:rPr>
        <w:t>3.1  Debt Service Coverage Ratio (DSCR)</w:t>
      </w:r>
    </w:p>
    <w:p>
      <w:pPr>
        <w:spacing w:line="360" w:lineRule="auto" w:before="0" w:after="120"/>
        <w:jc w:val="both"/>
      </w:pPr>
      <w:r>
        <w:rPr>
          <w:rFonts w:ascii="Times New Roman" w:hAnsi="Times New Roman"/>
          <w:b w:val="0"/>
          <w:i w:val="0"/>
          <w:sz w:val="24"/>
        </w:rPr>
        <w:t>The DSCR measures a business's ability to service debt from its operating income. A DSCR greater than 1.0 indicates that net operating income exceeds the annual debt obligation. The formulas are as follows.</w:t>
      </w:r>
    </w:p>
    <w:p>
      <w:pPr>
        <w:spacing w:before="80" w:after="80" w:line="240" w:lineRule="auto"/>
        <w:ind w:left="567"/>
      </w:pPr>
      <w:r>
        <w:rPr>
          <w:rFonts w:ascii="Courier New" w:hAnsi="Courier New"/>
          <w:sz w:val="20"/>
        </w:rPr>
        <w:t>DSCR = Net Operating Income (NOI) / Annual Debt Service</w:t>
      </w:r>
    </w:p>
    <w:p>
      <w:pPr>
        <w:spacing w:before="80" w:after="80" w:line="240" w:lineRule="auto"/>
        <w:ind w:left="567"/>
      </w:pPr>
      <w:r>
        <w:rPr>
          <w:rFonts w:ascii="Courier New" w:hAnsi="Courier New"/>
          <w:sz w:val="20"/>
        </w:rPr>
        <w:t>NOI  = Total Revenue x (1 - Expense Ratio)</w:t>
      </w:r>
    </w:p>
    <w:p>
      <w:pPr>
        <w:spacing w:before="80" w:after="80" w:line="240" w:lineRule="auto"/>
        <w:ind w:left="567"/>
      </w:pPr>
      <w:r>
        <w:rPr>
          <w:rFonts w:ascii="Courier New" w:hAnsi="Courier New"/>
          <w:sz w:val="20"/>
        </w:rPr>
        <w:t>Annual Debt Service = Monthly Payment x 12</w:t>
      </w:r>
    </w:p>
    <w:p>
      <w:pPr>
        <w:spacing w:before="80" w:after="80" w:line="240" w:lineRule="auto"/>
        <w:ind w:left="567"/>
      </w:pPr>
      <w:r>
        <w:rPr>
          <w:rFonts w:ascii="Courier New" w:hAnsi="Courier New"/>
          <w:sz w:val="20"/>
        </w:rPr>
        <w:t>Monthly Payment = P x [r(1+r)^n] / [(1+r)^n - 1]</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Where:  P = loan principal</w:t>
      </w:r>
    </w:p>
    <w:p>
      <w:pPr>
        <w:spacing w:before="80" w:after="80" w:line="240" w:lineRule="auto"/>
        <w:ind w:left="567"/>
      </w:pPr>
      <w:r>
        <w:rPr>
          <w:rFonts w:ascii="Courier New" w:hAnsi="Courier New"/>
          <w:sz w:val="20"/>
        </w:rPr>
        <w:t xml:space="preserve">        r = monthly interest rate (annual rate / 12)</w:t>
      </w:r>
    </w:p>
    <w:p>
      <w:pPr>
        <w:spacing w:before="80" w:after="80" w:line="240" w:lineRule="auto"/>
        <w:ind w:left="567"/>
      </w:pPr>
      <w:r>
        <w:rPr>
          <w:rFonts w:ascii="Courier New" w:hAnsi="Courier New"/>
          <w:sz w:val="20"/>
        </w:rPr>
        <w:t xml:space="preserve">        n = loan term in months</w:t>
      </w:r>
    </w:p>
    <w:p>
      <w:pPr>
        <w:spacing w:line="360" w:lineRule="auto" w:before="160" w:after="160"/>
        <w:jc w:val="both"/>
      </w:pPr>
      <w:r>
        <w:rPr>
          <w:rFonts w:ascii="Times New Roman" w:hAnsi="Times New Roman"/>
          <w:b w:val="0"/>
          <w:i w:val="0"/>
          <w:sz w:val="24"/>
        </w:rPr>
        <w:t>Credit limits are assigned in risk tiers: DSCR &gt;= 2.0 earns very_low risk with 70 percent of maximum eligible credit; DSCR &gt;= 1.5 earns low risk with 55 percent; DSCR &gt;= 1.25 earns medium risk with 40 percent; DSCR &gt;= 1.0 earns high risk with 25 percent; and DSCR &lt; 1.0 results in a critical classification with zero credit approved.</w:t>
      </w:r>
    </w:p>
    <w:p>
      <w:pPr>
        <w:spacing w:before="240" w:after="80"/>
      </w:pPr>
      <w:r>
        <w:rPr>
          <w:rFonts w:ascii="Times New Roman" w:hAnsi="Times New Roman"/>
          <w:b/>
          <w:sz w:val="24"/>
        </w:rPr>
        <w:t>3.2  Debt Burden Ratio (DBR) — SAMA Compliant</w:t>
      </w:r>
    </w:p>
    <w:p>
      <w:pPr>
        <w:spacing w:line="360" w:lineRule="auto" w:before="0" w:after="120"/>
        <w:jc w:val="both"/>
      </w:pPr>
      <w:r>
        <w:rPr>
          <w:rFonts w:ascii="Times New Roman" w:hAnsi="Times New Roman"/>
          <w:b w:val="0"/>
          <w:i w:val="0"/>
          <w:sz w:val="24"/>
        </w:rPr>
        <w:t>The DBR governs the Track 2 seed loan for new businesses. SAMA mandates that total monthly debt obligations must not exceed 33 percent of gross monthly salary.</w:t>
      </w:r>
    </w:p>
    <w:p>
      <w:pPr>
        <w:spacing w:before="80" w:after="80" w:line="240" w:lineRule="auto"/>
        <w:ind w:left="567"/>
      </w:pPr>
      <w:r>
        <w:rPr>
          <w:rFonts w:ascii="Courier New" w:hAnsi="Courier New"/>
          <w:sz w:val="20"/>
        </w:rPr>
        <w:t>DBR = (Existing Obligations + New Loan Monthly Payment)</w:t>
      </w:r>
    </w:p>
    <w:p>
      <w:pPr>
        <w:spacing w:before="80" w:after="80" w:line="240" w:lineRule="auto"/>
        <w:ind w:left="567"/>
      </w:pPr>
      <w:r>
        <w:rPr>
          <w:rFonts w:ascii="Courier New" w:hAnsi="Courier New"/>
          <w:sz w:val="20"/>
        </w:rPr>
        <w:t xml:space="preserve">      / Gross Monthly Salary</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SAMA Cap:  DBR &lt;= 0.33</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Max Eligible Loan = (Salary x 0.33 - Existing Obligations)</w:t>
      </w:r>
    </w:p>
    <w:p>
      <w:pPr>
        <w:spacing w:before="80" w:after="80" w:line="240" w:lineRule="auto"/>
        <w:ind w:left="567"/>
      </w:pPr>
      <w:r>
        <w:rPr>
          <w:rFonts w:ascii="Courier New" w:hAnsi="Courier New"/>
          <w:sz w:val="20"/>
        </w:rPr>
        <w:t xml:space="preserve">                  x Loan Term Months</w:t>
      </w:r>
    </w:p>
    <w:p>
      <w:pPr>
        <w:spacing w:line="360" w:lineRule="auto" w:before="160" w:after="160"/>
        <w:jc w:val="both"/>
      </w:pPr>
      <w:r>
        <w:rPr>
          <w:rFonts w:ascii="Times New Roman" w:hAnsi="Times New Roman"/>
          <w:b w:val="0"/>
          <w:i w:val="0"/>
          <w:sz w:val="24"/>
        </w:rPr>
        <w:t>The system reports the maximum eligible loan amount when an applicant is declined, enabling the applicant to structure a compliant application. This reduces friction and increases approval rates for borderline cases.</w:t>
      </w:r>
    </w:p>
    <w:p>
      <w:pPr>
        <w:spacing w:before="240" w:after="80"/>
      </w:pPr>
      <w:r>
        <w:rPr>
          <w:rFonts w:ascii="Times New Roman" w:hAnsi="Times New Roman"/>
          <w:b/>
          <w:sz w:val="24"/>
        </w:rPr>
        <w:t>3.3  Two-Track Confidence Blend Formula</w:t>
      </w:r>
    </w:p>
    <w:p>
      <w:pPr>
        <w:spacing w:line="360" w:lineRule="auto" w:before="0" w:after="120"/>
        <w:jc w:val="both"/>
      </w:pPr>
      <w:r>
        <w:rPr>
          <w:rFonts w:ascii="Times New Roman" w:hAnsi="Times New Roman"/>
          <w:b w:val="0"/>
          <w:i w:val="0"/>
          <w:sz w:val="24"/>
        </w:rPr>
        <w:t>As a Track 2 business accumulates real transaction data, the system transitions its feature vector from intake-form-derived estimates to observed behavioral features using a linear blend weighted by the number of days of real data collected.</w:t>
      </w:r>
    </w:p>
    <w:p>
      <w:pPr>
        <w:spacing w:before="80" w:after="80" w:line="240" w:lineRule="auto"/>
        <w:ind w:left="567"/>
      </w:pPr>
      <w:r>
        <w:rPr>
          <w:rFonts w:ascii="Courier New" w:hAnsi="Courier New"/>
          <w:sz w:val="20"/>
        </w:rPr>
        <w:t>weight_real = min(data_days / 30.0, 1.0)</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blended[f]  = real[f]   x weight_real</w:t>
      </w:r>
    </w:p>
    <w:p>
      <w:pPr>
        <w:spacing w:before="80" w:after="80" w:line="240" w:lineRule="auto"/>
        <w:ind w:left="567"/>
      </w:pPr>
      <w:r>
        <w:rPr>
          <w:rFonts w:ascii="Courier New" w:hAnsi="Courier New"/>
          <w:sz w:val="20"/>
        </w:rPr>
        <w:t xml:space="preserve">            + intake[f] x (1 - weight_real)</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Where:  f         = any of the 15 behavioral features</w:t>
      </w:r>
    </w:p>
    <w:p>
      <w:pPr>
        <w:spacing w:before="80" w:after="80" w:line="240" w:lineRule="auto"/>
        <w:ind w:left="567"/>
      </w:pPr>
      <w:r>
        <w:rPr>
          <w:rFonts w:ascii="Courier New" w:hAnsi="Courier New"/>
          <w:sz w:val="20"/>
        </w:rPr>
        <w:t xml:space="preserve">        data_days = days of real POS data collected</w:t>
      </w:r>
    </w:p>
    <w:p>
      <w:pPr>
        <w:spacing w:before="80" w:after="80" w:line="240" w:lineRule="auto"/>
        <w:ind w:left="567"/>
      </w:pPr>
      <w:r>
        <w:rPr>
          <w:rFonts w:ascii="Courier New" w:hAnsi="Courier New"/>
          <w:sz w:val="20"/>
        </w:rPr>
        <w:t xml:space="preserve">        real[f]   = feature from observed transactions</w:t>
      </w:r>
    </w:p>
    <w:p>
      <w:pPr>
        <w:spacing w:before="80" w:after="80" w:line="240" w:lineRule="auto"/>
        <w:ind w:left="567"/>
      </w:pPr>
      <w:r>
        <w:rPr>
          <w:rFonts w:ascii="Courier New" w:hAnsi="Courier New"/>
          <w:sz w:val="20"/>
        </w:rPr>
        <w:t xml:space="preserve">        intake[f] = feature mapped from intake form</w:t>
      </w:r>
    </w:p>
    <w:p>
      <w:pPr>
        <w:spacing w:line="360" w:lineRule="auto" w:before="160" w:after="160"/>
        <w:jc w:val="both"/>
      </w:pPr>
      <w:r>
        <w:rPr>
          <w:rFonts w:ascii="Times New Roman" w:hAnsi="Times New Roman"/>
          <w:b w:val="0"/>
          <w:i w:val="0"/>
          <w:sz w:val="24"/>
        </w:rPr>
        <w:t>At data_days = 0, the assessment is 100 percent intake-form derived with appropriately reduced confidence scores. At data_days = 30, the assessment is 100 percent based on real transaction data. The linear transition between these bounds provides a smooth graduation from predicted to observed behavioral profiles.</w:t>
      </w:r>
    </w:p>
    <w:p>
      <w:pPr>
        <w:spacing w:before="240" w:after="80"/>
      </w:pPr>
      <w:r>
        <w:rPr>
          <w:rFonts w:ascii="Times New Roman" w:hAnsi="Times New Roman"/>
          <w:b/>
          <w:sz w:val="24"/>
        </w:rPr>
        <w:t>3.4  Sustainability Discount Formula</w:t>
      </w:r>
    </w:p>
    <w:p>
      <w:pPr>
        <w:spacing w:line="360" w:lineRule="auto" w:before="0" w:after="120"/>
        <w:jc w:val="both"/>
      </w:pPr>
      <w:r>
        <w:rPr>
          <w:rFonts w:ascii="Times New Roman" w:hAnsi="Times New Roman"/>
          <w:b w:val="0"/>
          <w:i w:val="0"/>
          <w:sz w:val="24"/>
        </w:rPr>
        <w:t>Businesses operating with high energy efficiency qualify for an interest rate reduction that incentivizes green operations. The discount is computed from smart energy meter data.</w:t>
      </w:r>
    </w:p>
    <w:p>
      <w:pPr>
        <w:spacing w:before="80" w:after="80" w:line="240" w:lineRule="auto"/>
        <w:ind w:left="567"/>
      </w:pPr>
      <w:r>
        <w:rPr>
          <w:rFonts w:ascii="Courier New" w:hAnsi="Courier New"/>
          <w:sz w:val="20"/>
        </w:rPr>
        <w:t>If avg_efficiency &gt; 0.70 AND green_days &gt;= 3:</w:t>
      </w:r>
    </w:p>
    <w:p>
      <w:pPr>
        <w:spacing w:before="80" w:after="80" w:line="240" w:lineRule="auto"/>
        <w:ind w:left="567"/>
      </w:pPr>
      <w:r>
        <w:rPr>
          <w:rFonts w:ascii="Courier New" w:hAnsi="Courier New"/>
          <w:sz w:val="20"/>
        </w:rPr>
        <w:t xml:space="preserve">    discount = 0.010  (1.0 percentage point reduction)</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Else if avg_efficiency &gt; 0.60 AND green_days &gt;= 2:</w:t>
      </w:r>
    </w:p>
    <w:p>
      <w:pPr>
        <w:spacing w:before="80" w:after="80" w:line="240" w:lineRule="auto"/>
        <w:ind w:left="567"/>
      </w:pPr>
      <w:r>
        <w:rPr>
          <w:rFonts w:ascii="Courier New" w:hAnsi="Courier New"/>
          <w:sz w:val="20"/>
        </w:rPr>
        <w:t xml:space="preserve">    discount = 0.005  (0.5 percentage point reduction)</w:t>
      </w:r>
    </w:p>
    <w:p>
      <w:pPr>
        <w:spacing w:before="80" w:after="80" w:line="240" w:lineRule="auto"/>
        <w:ind w:left="567"/>
      </w:pPr>
      <w:r>
        <w:rPr>
          <w:rFonts w:ascii="Courier New" w:hAnsi="Courier New"/>
          <w:sz w:val="20"/>
        </w:rPr>
      </w:r>
    </w:p>
    <w:p>
      <w:pPr>
        <w:spacing w:before="80" w:after="80" w:line="240" w:lineRule="auto"/>
        <w:ind w:left="567"/>
      </w:pPr>
      <w:r>
        <w:rPr>
          <w:rFonts w:ascii="Courier New" w:hAnsi="Courier New"/>
          <w:sz w:val="20"/>
        </w:rPr>
        <w:t>final_rate = base_rate - discount</w:t>
      </w:r>
    </w:p>
    <w:p>
      <w:r>
        <w:br w:type="page"/>
      </w:r>
    </w:p>
    <w:p>
      <w:pPr>
        <w:spacing w:before="360" w:after="120"/>
      </w:pPr>
      <w:r>
        <w:rPr>
          <w:rFonts w:ascii="Times New Roman" w:hAnsi="Times New Roman"/>
          <w:b/>
          <w:sz w:val="28"/>
        </w:rPr>
        <w:t>4.  Validation Summary</w:t>
      </w:r>
    </w:p>
    <w:p>
      <w:pPr>
        <w:spacing w:before="240" w:after="80"/>
      </w:pPr>
      <w:r>
        <w:rPr>
          <w:rFonts w:ascii="Times New Roman" w:hAnsi="Times New Roman"/>
          <w:b/>
          <w:sz w:val="24"/>
        </w:rPr>
        <w:t>4.1  Overall Validation Results</w:t>
      </w:r>
    </w:p>
    <w:p>
      <w:pPr>
        <w:spacing w:before="160" w:after="40"/>
        <w:jc w:val="left"/>
      </w:pPr>
      <w:r>
        <w:rPr>
          <w:rFonts w:ascii="Times New Roman" w:hAnsi="Times New Roman"/>
          <w:b/>
          <w:i/>
          <w:sz w:val="22"/>
        </w:rPr>
        <w:t>Table 8: Overall Validation Summary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Component</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Validation Method</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Result</w:t>
            </w:r>
          </w:p>
        </w:tc>
        <w:tc>
          <w:tcPr>
            <w:tcW w:type="dxa" w:w="235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Status</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1 Classifier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6 real datasets (3 with full timestamps)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3/3 correct on complete-timestamp data</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2 Expense Estimator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Published industry benchmarks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5/6 within benchmark range</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3 Fraud Detector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Injected anomaly detection</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All injected anomalies detected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4 Prophet Forecaster</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chronological train/test split</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MAPE documented with limitations noted</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r>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Two-track system</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Intake form classification tests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Correct cluster assignment on all test cases</w:t>
            </w:r>
          </w:p>
        </w:tc>
        <w:tc>
          <w:tcPr>
            <w:tcW w:type="dxa" w:w="235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Paper-ready</w:t>
            </w:r>
          </w:p>
        </w:tc>
      </w:tr>
    </w:tbl>
    <w:p/>
    <w:p>
      <w:pPr>
        <w:spacing w:before="240" w:after="80"/>
      </w:pPr>
      <w:r>
        <w:rPr>
          <w:rFonts w:ascii="Times New Roman" w:hAnsi="Times New Roman"/>
          <w:b/>
          <w:sz w:val="24"/>
        </w:rPr>
        <w:t>4.2  Known Limitations</w:t>
      </w:r>
    </w:p>
    <w:p>
      <w:pPr>
        <w:spacing w:line="360" w:lineRule="auto" w:before="0" w:after="160"/>
        <w:jc w:val="both"/>
      </w:pPr>
      <w:r>
        <w:rPr>
          <w:rFonts w:ascii="Times New Roman" w:hAnsi="Times New Roman"/>
          <w:b w:val="0"/>
          <w:i w:val="0"/>
          <w:sz w:val="24"/>
        </w:rPr>
        <w:t>Limitation 1 — Data availability. No publicly available Saudi SME POS transaction dataset exists at the time of writing. Validation is conducted on synthetic data calibrated to Saudi market conditions and on international public datasets. Results should be interpreted in the context of this geographic and temporal displacement, and production deployment should include a validation phase against real Saudi POS data once available through banking partnerships.</w:t>
      </w:r>
    </w:p>
    <w:p>
      <w:pPr>
        <w:spacing w:line="360" w:lineRule="auto" w:before="0" w:after="160"/>
        <w:jc w:val="both"/>
      </w:pPr>
      <w:r>
        <w:rPr>
          <w:rFonts w:ascii="Times New Roman" w:hAnsi="Times New Roman"/>
          <w:b w:val="0"/>
          <w:i w:val="0"/>
          <w:sz w:val="24"/>
        </w:rPr>
        <w:t>Limitation 2 — Timestamp requirement. The behavioral classifier requires hour-level timestamps. Daily-aggregated transaction data produces incorrect classifications due to the absence of temporal feature signals. Production deployment requires POS systems to transmit full datetime stamps, not date-only aggregations. This is a data ingestion requirement, not a modeling limitation.</w:t>
      </w:r>
    </w:p>
    <w:p>
      <w:pPr>
        <w:spacing w:line="360" w:lineRule="auto" w:before="0" w:after="160"/>
        <w:jc w:val="both"/>
      </w:pPr>
      <w:r>
        <w:rPr>
          <w:rFonts w:ascii="Times New Roman" w:hAnsi="Times New Roman"/>
          <w:b w:val="0"/>
          <w:i w:val="0"/>
          <w:sz w:val="24"/>
        </w:rPr>
        <w:t>Limitation 3 — Commission-based businesses. The expense estimator uses ticket size as a COGS proxy, which fails for commission-based brokerage businesses where high ticket values do not imply high product costs. Real estate, insurance, and financial services brokerages are affected. The production fix is an explicit is_commission_based flag in the intake form or auto-detection from payment method distribution patterns.</w:t>
      </w:r>
    </w:p>
    <w:p>
      <w:pPr>
        <w:spacing w:line="360" w:lineRule="auto" w:before="0" w:after="160"/>
        <w:jc w:val="both"/>
      </w:pPr>
      <w:r>
        <w:rPr>
          <w:rFonts w:ascii="Times New Roman" w:hAnsi="Times New Roman"/>
          <w:b w:val="0"/>
          <w:i w:val="0"/>
          <w:sz w:val="24"/>
        </w:rPr>
        <w:t>Limitation 4 — Forecast horizon. Prophet achieves optimal accuracy with multiple seasonal cycles of historical data. The 90-day training window in the current prototype provides three complete monthly cycles of weekly seasonality data, which is sufficient for weekly pattern detection but insufficient for yearly seasonality modeling. MAPE metrics for sparse businesses (real estate, automotive) are inflated by zero-revenue days in the test set, a known limitation of MAPE on intermittent time series. SMAPE or MAE are more appropriate accuracy metrics for these business types.</w:t>
      </w:r>
    </w:p>
    <w:p>
      <w:pPr>
        <w:spacing w:line="360" w:lineRule="auto" w:before="0" w:after="160"/>
        <w:jc w:val="both"/>
      </w:pPr>
      <w:r>
        <w:rPr>
          <w:rFonts w:ascii="Times New Roman" w:hAnsi="Times New Roman"/>
          <w:b w:val="0"/>
          <w:i w:val="0"/>
          <w:sz w:val="24"/>
        </w:rPr>
        <w:t>Limitation 5 — SAMA compliance. Automated credit decisioning in Saudi Arabia requires SAMA regulatory approval. DataCore is designed as a decision support system: it provides the assessment and recommendation, with final lending authority retained by a qualified human loan officer. The DSCR and DBR calculations are presented as inputs to the human decision process, not as autonomous approval decisions.</w:t>
      </w:r>
    </w:p>
    <w:p>
      <w:r>
        <w:br w:type="page"/>
      </w:r>
    </w:p>
    <w:p>
      <w:pPr>
        <w:spacing w:before="360" w:after="120"/>
      </w:pPr>
      <w:r>
        <w:rPr>
          <w:rFonts w:ascii="Times New Roman" w:hAnsi="Times New Roman"/>
          <w:b/>
          <w:sz w:val="28"/>
        </w:rPr>
        <w:t>5.  References</w:t>
      </w:r>
    </w:p>
    <w:p>
      <w:pPr>
        <w:spacing w:line="360" w:lineRule="auto" w:before="0" w:after="120"/>
        <w:ind w:left="709" w:hanging="709"/>
        <w:jc w:val="both"/>
      </w:pPr>
      <w:r>
        <w:rPr>
          <w:rFonts w:ascii="Times New Roman" w:hAnsi="Times New Roman"/>
          <w:b/>
          <w:sz w:val="24"/>
        </w:rPr>
        <w:t xml:space="preserve">Chen, D. (2012). </w:t>
      </w:r>
      <w:r>
        <w:rPr>
          <w:rFonts w:ascii="Times New Roman" w:hAnsi="Times New Roman"/>
          <w:sz w:val="24"/>
        </w:rPr>
        <w:t>Online Retail II [Dataset]. UCI Machine Learning Repository. https://doi.org/10.24432/C5CG6D</w:t>
      </w:r>
    </w:p>
    <w:p>
      <w:pPr>
        <w:spacing w:line="360" w:lineRule="auto" w:before="0" w:after="120"/>
        <w:ind w:left="709" w:hanging="709"/>
        <w:jc w:val="both"/>
      </w:pPr>
      <w:r>
        <w:rPr>
          <w:rFonts w:ascii="Times New Roman" w:hAnsi="Times New Roman"/>
          <w:b/>
          <w:sz w:val="24"/>
        </w:rPr>
        <w:t xml:space="preserve">Taylor, S. J., &amp; Letham, B. (2018). </w:t>
      </w:r>
      <w:r>
        <w:rPr>
          <w:rFonts w:ascii="Times New Roman" w:hAnsi="Times New Roman"/>
          <w:sz w:val="24"/>
        </w:rPr>
        <w:t>Forecasting at scale. The American Statistician, 72(1), 37-45. https://doi.org/10.1080/00031305.2017.1380080</w:t>
      </w:r>
    </w:p>
    <w:p>
      <w:pPr>
        <w:spacing w:line="360" w:lineRule="auto" w:before="0" w:after="120"/>
        <w:ind w:left="709" w:hanging="709"/>
        <w:jc w:val="both"/>
      </w:pPr>
      <w:r>
        <w:rPr>
          <w:rFonts w:ascii="Times New Roman" w:hAnsi="Times New Roman"/>
          <w:b/>
          <w:sz w:val="24"/>
        </w:rPr>
        <w:t xml:space="preserve">Liu, F. T., Ting, K. M., &amp; Zhou, Z. H. (2008). </w:t>
      </w:r>
      <w:r>
        <w:rPr>
          <w:rFonts w:ascii="Times New Roman" w:hAnsi="Times New Roman"/>
          <w:sz w:val="24"/>
        </w:rPr>
        <w:t>Isolation forest. In 2008 Eighth IEEE International Conference on Data Mining (pp. 413-422). IEEE.</w:t>
      </w:r>
    </w:p>
    <w:p>
      <w:pPr>
        <w:spacing w:line="360" w:lineRule="auto" w:before="0" w:after="120"/>
        <w:ind w:left="709" w:hanging="709"/>
        <w:jc w:val="both"/>
      </w:pPr>
      <w:r>
        <w:rPr>
          <w:rFonts w:ascii="Times New Roman" w:hAnsi="Times New Roman"/>
          <w:b/>
          <w:sz w:val="24"/>
        </w:rPr>
        <w:t xml:space="preserve">Campello, R. J., Moulavi, D., &amp; Sander, J. (2013). </w:t>
      </w:r>
      <w:r>
        <w:rPr>
          <w:rFonts w:ascii="Times New Roman" w:hAnsi="Times New Roman"/>
          <w:sz w:val="24"/>
        </w:rPr>
        <w:t>Density-based clustering based on hierarchical density estimates. In Pacific-Asia Conference on Knowledge Discovery and Data Mining (pp. 160-172). Springer.</w:t>
      </w:r>
    </w:p>
    <w:p>
      <w:pPr>
        <w:spacing w:line="360" w:lineRule="auto" w:before="0" w:after="120"/>
        <w:ind w:left="709" w:hanging="709"/>
        <w:jc w:val="both"/>
      </w:pPr>
      <w:r>
        <w:rPr>
          <w:rFonts w:ascii="Times New Roman" w:hAnsi="Times New Roman"/>
          <w:b/>
          <w:sz w:val="24"/>
        </w:rPr>
        <w:t xml:space="preserve">Saudi Central Bank (SAMA). (2024). </w:t>
      </w:r>
      <w:r>
        <w:rPr>
          <w:rFonts w:ascii="Times New Roman" w:hAnsi="Times New Roman"/>
          <w:sz w:val="24"/>
        </w:rPr>
        <w:t>Financial Sector Development Program Annual Report 2024. https://www.sama.gov.sa</w:t>
      </w:r>
    </w:p>
    <w:p>
      <w:pPr>
        <w:spacing w:line="360" w:lineRule="auto" w:before="0" w:after="120"/>
        <w:ind w:left="709" w:hanging="709"/>
        <w:jc w:val="both"/>
      </w:pPr>
      <w:r>
        <w:rPr>
          <w:rFonts w:ascii="Times New Roman" w:hAnsi="Times New Roman"/>
          <w:b/>
          <w:sz w:val="24"/>
        </w:rPr>
        <w:t xml:space="preserve">National Restaurant Association. (2023). </w:t>
      </w:r>
      <w:r>
        <w:rPr>
          <w:rFonts w:ascii="Times New Roman" w:hAnsi="Times New Roman"/>
          <w:sz w:val="24"/>
        </w:rPr>
        <w:t>Restaurant Industry Outlook 2023. Washington, DC: NRA.</w:t>
      </w:r>
    </w:p>
    <w:p>
      <w:pPr>
        <w:spacing w:line="360" w:lineRule="auto" w:before="0" w:after="120"/>
        <w:ind w:left="709" w:hanging="709"/>
        <w:jc w:val="both"/>
      </w:pPr>
      <w:r>
        <w:rPr>
          <w:rFonts w:ascii="Times New Roman" w:hAnsi="Times New Roman"/>
          <w:b/>
          <w:sz w:val="24"/>
        </w:rPr>
        <w:t xml:space="preserve">National Automobile Dealers Association (NADA). (2023). </w:t>
      </w:r>
      <w:r>
        <w:rPr>
          <w:rFonts w:ascii="Times New Roman" w:hAnsi="Times New Roman"/>
          <w:sz w:val="24"/>
        </w:rPr>
        <w:t>Annual Dealership Financial Profile. McLean, VA: NADA.</w:t>
      </w:r>
    </w:p>
    <w:p>
      <w:pPr>
        <w:spacing w:line="360" w:lineRule="auto" w:before="0" w:after="120"/>
        <w:ind w:left="709" w:hanging="709"/>
        <w:jc w:val="both"/>
      </w:pPr>
      <w:r>
        <w:rPr>
          <w:rFonts w:ascii="Times New Roman" w:hAnsi="Times New Roman"/>
          <w:b/>
          <w:sz w:val="24"/>
        </w:rPr>
        <w:t xml:space="preserve">National Association of Realtors (NAR). (2023). </w:t>
      </w:r>
      <w:r>
        <w:rPr>
          <w:rFonts w:ascii="Times New Roman" w:hAnsi="Times New Roman"/>
          <w:sz w:val="24"/>
        </w:rPr>
        <w:t>Real Estate Industry Statistics. Chicago, IL: NAR.</w:t>
      </w:r>
    </w:p>
    <w:p>
      <w:pPr>
        <w:spacing w:line="360" w:lineRule="auto" w:before="0" w:after="120"/>
        <w:ind w:left="709" w:hanging="709"/>
        <w:jc w:val="both"/>
      </w:pPr>
      <w:r>
        <w:rPr>
          <w:rFonts w:ascii="Times New Roman" w:hAnsi="Times New Roman"/>
          <w:b/>
          <w:sz w:val="24"/>
        </w:rPr>
        <w:t xml:space="preserve">Deloitte. (2023). </w:t>
      </w:r>
      <w:r>
        <w:rPr>
          <w:rFonts w:ascii="Times New Roman" w:hAnsi="Times New Roman"/>
          <w:sz w:val="24"/>
        </w:rPr>
        <w:t>Global Powers of Retailing 2023. London: Deloitte Touche Tohmatsu.</w:t>
      </w:r>
    </w:p>
    <w:p>
      <w:pPr>
        <w:spacing w:line="360" w:lineRule="auto" w:before="0" w:after="120"/>
        <w:ind w:left="709" w:hanging="709"/>
        <w:jc w:val="both"/>
      </w:pPr>
      <w:r>
        <w:rPr>
          <w:rFonts w:ascii="Times New Roman" w:hAnsi="Times New Roman"/>
          <w:b/>
          <w:sz w:val="24"/>
        </w:rPr>
        <w:t xml:space="preserve">General Authority for Statistics Saudi Arabia (GASTAT). (2024). </w:t>
      </w:r>
      <w:r>
        <w:rPr>
          <w:rFonts w:ascii="Times New Roman" w:hAnsi="Times New Roman"/>
          <w:sz w:val="24"/>
        </w:rPr>
        <w:t>Economic Statistics. https://www.stats.gov.sa</w:t>
      </w:r>
    </w:p>
    <w:p>
      <w:r>
        <w:br w:type="page"/>
      </w:r>
    </w:p>
    <w:p>
      <w:pPr>
        <w:spacing w:before="360" w:after="120"/>
      </w:pPr>
      <w:r>
        <w:rPr>
          <w:rFonts w:ascii="Times New Roman" w:hAnsi="Times New Roman"/>
          <w:b/>
          <w:sz w:val="28"/>
        </w:rPr>
        <w:t>Appendix — System Architecture</w:t>
      </w:r>
    </w:p>
    <w:p>
      <w:pPr>
        <w:spacing w:before="240" w:after="80"/>
      </w:pPr>
      <w:r>
        <w:rPr>
          <w:rFonts w:ascii="Times New Roman" w:hAnsi="Times New Roman"/>
          <w:b/>
          <w:sz w:val="24"/>
        </w:rPr>
        <w:t>A.1  Technical Stack</w:t>
      </w:r>
    </w:p>
    <w:p>
      <w:pPr>
        <w:spacing w:before="160" w:after="40"/>
        <w:jc w:val="left"/>
      </w:pPr>
      <w:r>
        <w:rPr>
          <w:rFonts w:ascii="Times New Roman" w:hAnsi="Times New Roman"/>
          <w:b/>
          <w:i/>
          <w:sz w:val="22"/>
        </w:rPr>
        <w:t>Table A1: System Technical Stack</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Component</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Technology</w:t>
            </w:r>
          </w:p>
        </w:tc>
        <w:tc>
          <w:tcPr>
            <w:tcW w:type="dxa" w:w="3135"/>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Purpose</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Business Classifier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HDBSCAN + PCA</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Unsupervised behavioral clustering</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Expense Estimator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Feature tag mapping</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Cost structure derivation</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Fraud Detector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Isolation Forest</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Per-business anomaly detection</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Revenue Forecaster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Facebook Prophet</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30-day revenue prediction</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API Layer</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Flask + Python</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serving and endpoint routing</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Frontend</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React + Tailwind</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Bilingual AR/EN dashboard</w:t>
            </w:r>
          </w:p>
        </w:tc>
      </w:tr>
      <w:tr>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Data Pipeline</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Pandas + NumPy</w:t>
            </w:r>
          </w:p>
        </w:tc>
        <w:tc>
          <w:tcPr>
            <w:tcW w:type="dxa" w:w="3135"/>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Feature engineering and processing</w:t>
            </w:r>
          </w:p>
        </w:tc>
      </w:tr>
    </w:tbl>
    <w:p/>
    <w:p>
      <w:pPr>
        <w:spacing w:before="240" w:after="80"/>
      </w:pPr>
      <w:r>
        <w:rPr>
          <w:rFonts w:ascii="Times New Roman" w:hAnsi="Times New Roman"/>
          <w:b/>
          <w:sz w:val="24"/>
        </w:rPr>
        <w:t>A.2  Dataset Summary</w:t>
      </w:r>
    </w:p>
    <w:p>
      <w:pPr>
        <w:spacing w:before="160" w:after="40"/>
        <w:jc w:val="left"/>
      </w:pPr>
      <w:r>
        <w:rPr>
          <w:rFonts w:ascii="Times New Roman" w:hAnsi="Times New Roman"/>
          <w:b/>
          <w:i/>
          <w:sz w:val="22"/>
        </w:rPr>
        <w:t>Table A2: Datasets Used in DataCore Validation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Dataset</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Rows</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Period</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Source</w:t>
            </w:r>
          </w:p>
        </w:tc>
        <w:tc>
          <w:tcPr>
            <w:tcW w:type="dxa" w:w="1881"/>
            <w:shd w:val="clear" w:color="auto" w:fill="D9D9D9"/>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center"/>
            </w:pPr>
            <w:r>
              <w:rPr>
                <w:rFonts w:ascii="Times New Roman" w:hAnsi="Times New Roman"/>
                <w:b/>
                <w:sz w:val="22"/>
              </w:rPr>
              <w:t>Used For</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Synthetic SME (6 businesses)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36,218</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90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Generated</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Model training</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UCI Online Retail II</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374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Chen (2012)</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 Prophet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Coffee Shop Sales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149,116</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181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Maven Analytics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Supermarket Sales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89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(2019)</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Car Dealer Sales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366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(2023)</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Real Estate Transactions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5,020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r>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General Retail</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50,000</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1,600 days</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Kaggle (2024)</w:t>
            </w:r>
          </w:p>
        </w:tc>
        <w:tc>
          <w:tcPr>
            <w:tcW w:type="dxa" w:w="1881"/>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cBorders>
          </w:tcPr>
          <w:p>
            <w:pPr>
              <w:jc w:val="left"/>
            </w:pPr>
            <w:r>
              <w:rPr>
                <w:rFonts w:ascii="Times New Roman" w:hAnsi="Times New Roman"/>
                <w:sz w:val="22"/>
              </w:rPr>
              <w:t>Classifier validation</w:t>
            </w:r>
          </w:p>
        </w:tc>
      </w:tr>
    </w:tbl>
    <w:p/>
    <w:p>
      <w:pPr>
        <w:spacing w:line="360" w:lineRule="auto" w:before="80" w:after="0"/>
        <w:jc w:val="both"/>
      </w:pPr>
      <w:r>
        <w:rPr>
          <w:rFonts w:ascii="Times New Roman" w:hAnsi="Times New Roman"/>
          <w:b w:val="0"/>
          <w:i/>
          <w:sz w:val="24"/>
        </w:rPr>
        <w:t>All Kaggle datasets are used under their respective CC0 or CC BY licenses. The UCI Online Retail dataset is used under CC BY 4.0. Synthetic datasets were generated programmatically using calibrated probability distributions matched to Saudi SME market characteristics and are available in the project repository.</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