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left"/>
      </w:pPr>
      <w:r>
        <w:rPr>
          <w:rFonts w:ascii="Times New Roman" w:hAnsi="Times New Roman"/>
          <w:b w:val="0"/>
          <w:i w:val="0"/>
          <w:sz w:val="24"/>
        </w:rPr>
      </w:r>
    </w:p>
    <w:p>
      <w:pPr>
        <w:spacing w:line="360" w:lineRule="auto" w:before="0" w:after="0"/>
        <w:jc w:val="left"/>
      </w:pPr>
      <w:r>
        <w:rPr>
          <w:rFonts w:ascii="Times New Roman" w:hAnsi="Times New Roman"/>
          <w:b w:val="0"/>
          <w:i w:val="0"/>
          <w:sz w:val="24"/>
        </w:rPr>
      </w:r>
    </w:p>
    <w:p>
      <w:pPr>
        <w:spacing w:line="360" w:lineRule="auto" w:before="0" w:after="0"/>
        <w:jc w:val="left"/>
      </w:pPr>
      <w:r>
        <w:rPr>
          <w:rFonts w:ascii="Times New Roman" w:hAnsi="Times New Roman"/>
          <w:b w:val="0"/>
          <w:i w:val="0"/>
          <w:sz w:val="24"/>
        </w:rPr>
      </w:r>
    </w:p>
    <w:p>
      <w:pPr>
        <w:spacing w:line="360" w:lineRule="auto" w:before="0" w:after="0"/>
        <w:jc w:val="left"/>
      </w:pPr>
      <w:r>
        <w:rPr>
          <w:rFonts w:ascii="Times New Roman" w:hAnsi="Times New Roman"/>
          <w:b w:val="0"/>
          <w:i w:val="0"/>
          <w:sz w:val="24"/>
        </w:rPr>
      </w:r>
    </w:p>
    <w:p>
      <w:pPr>
        <w:spacing w:line="360" w:lineRule="auto" w:before="0" w:after="240"/>
        <w:jc w:val="center"/>
      </w:pPr>
      <w:r>
        <w:rPr>
          <w:rFonts w:ascii="Times New Roman" w:hAnsi="Times New Roman"/>
          <w:b/>
          <w:i w:val="0"/>
          <w:sz w:val="36"/>
        </w:rPr>
        <w:t>Unsupervised Behavioral Classification of SME Transaction Streams</w:t>
        <w:br/>
        <w:t>for Automated Credit Risk Assessment</w:t>
      </w:r>
    </w:p>
    <w:p>
      <w:pPr>
        <w:spacing w:line="360" w:lineRule="auto" w:before="0" w:after="480"/>
        <w:jc w:val="center"/>
      </w:pPr>
      <w:r>
        <w:rPr>
          <w:rFonts w:ascii="Times New Roman" w:hAnsi="Times New Roman"/>
          <w:b w:val="0"/>
          <w:i/>
          <w:sz w:val="24"/>
        </w:rPr>
        <w:t>A Two-Track AI Lending Engine for Existing and</w:t>
        <w:br/>
        <w:t>New Businesses in the Saudi Banking Context</w:t>
      </w:r>
    </w:p>
    <w:p>
      <w:pPr>
        <w:spacing w:line="360" w:lineRule="auto" w:before="0" w:after="80"/>
        <w:jc w:val="center"/>
      </w:pPr>
      <w:r>
        <w:rPr>
          <w:rFonts w:ascii="Times New Roman" w:hAnsi="Times New Roman"/>
          <w:b w:val="0"/>
          <w:i w:val="0"/>
          <w:sz w:val="24"/>
        </w:rPr>
        <w:t>Author: [Author Name]  —  Prince Sultan University</w:t>
      </w:r>
    </w:p>
    <w:p>
      <w:pPr>
        <w:spacing w:line="360" w:lineRule="auto" w:before="0" w:after="80"/>
        <w:jc w:val="center"/>
      </w:pPr>
      <w:r>
        <w:rPr>
          <w:rFonts w:ascii="Times New Roman" w:hAnsi="Times New Roman"/>
          <w:b w:val="0"/>
          <w:i w:val="0"/>
          <w:sz w:val="24"/>
        </w:rPr>
        <w:t>Date: May 2026</w:t>
      </w:r>
    </w:p>
    <w:p>
      <w:pPr>
        <w:spacing w:line="360" w:lineRule="auto" w:before="0" w:after="480"/>
        <w:jc w:val="center"/>
      </w:pPr>
      <w:r>
        <w:rPr>
          <w:rFonts w:ascii="Times New Roman" w:hAnsi="Times New Roman"/>
          <w:b w:val="0"/>
          <w:i/>
          <w:sz w:val="24"/>
        </w:rPr>
        <w:t>Status: Working Paper  —  Competition Submission Draft</w:t>
      </w:r>
    </w:p>
    <w:p>
      <w:pPr>
        <w:pBdr>
          <w:bottom w:val="single" w:sz="6" w:space="1" w:color="000000"/>
        </w:pBdr>
      </w:pPr>
    </w:p>
    <w:p>
      <w:pPr>
        <w:spacing w:line="360" w:lineRule="auto" w:before="240" w:after="120"/>
        <w:jc w:val="center"/>
      </w:pPr>
      <w:r>
        <w:rPr>
          <w:rFonts w:ascii="Times New Roman" w:hAnsi="Times New Roman"/>
          <w:b/>
          <w:i w:val="0"/>
          <w:sz w:val="24"/>
        </w:rPr>
        <w:t>Abstract</w:t>
      </w:r>
    </w:p>
    <w:p>
      <w:pPr>
        <w:spacing w:line="360" w:lineRule="auto" w:before="0" w:after="240"/>
        <w:ind w:left="850" w:right="850"/>
        <w:jc w:val="both"/>
      </w:pPr>
      <w:r>
        <w:rPr>
          <w:rFonts w:ascii="Times New Roman" w:hAnsi="Times New Roman"/>
          <w:sz w:val="22"/>
        </w:rPr>
        <w:t>The assessment of creditworthiness for small and medium enterprises (SMEs) in Saudi Arabia relies predominantly on static document-based applications that are susceptible to fraud and fail to capture the dynamic financial reality of operating businesses. This paper presents DataCore, an AI-driven lending assessment engine that replaces static loan applications with continuous analysis of live point-of-sale transaction streams. The system employs four interdependent machine learning models: an unsupervised HDBSCAN behavioral classifier that identifies business archetypes from transaction fingerprints without labeled training data, a behavioral expense estimator that derives cost structure from transactional signals, a per-business Isolation Forest fraud detector, and a Prophet-based revenue forecaster that drives dynamic credit limit adjustment. A novel two-track classification system addresses the cold start problem by enabling assessment of new businesses through a salary-backed seed loan mechanism backed by personal Debt Burden Ratio (DBR) assessment under SAMA regulations. Validation against six real-world public datasets demonstrates 100% classification accuracy on transaction-level data with complete timestamps. Expense ratio predictions achieve benchmark alignment for five of six business categories against published industry sources. The system is implemented as a functional prototype integrated with a bilingual Arabic-English dashboard.</w:t>
      </w:r>
    </w:p>
    <w:p>
      <w:r>
        <w:br w:type="page"/>
      </w:r>
    </w:p>
    <w:p>
      <w:pPr>
        <w:spacing w:before="360" w:after="120"/>
      </w:pPr>
      <w:r>
        <w:rPr>
          <w:rFonts w:ascii="Times New Roman" w:hAnsi="Times New Roman"/>
          <w:b/>
          <w:sz w:val="28"/>
        </w:rPr>
        <w:t>1.  The Core Contribution</w:t>
      </w:r>
    </w:p>
    <w:p>
      <w:pPr>
        <w:spacing w:before="240" w:after="80"/>
      </w:pPr>
      <w:r>
        <w:rPr>
          <w:rFonts w:ascii="Times New Roman" w:hAnsi="Times New Roman"/>
          <w:b/>
          <w:sz w:val="24"/>
        </w:rPr>
        <w:t>1.1  The Problem with Existing SME Lending</w:t>
      </w:r>
    </w:p>
    <w:p>
      <w:pPr>
        <w:spacing w:line="360" w:lineRule="auto" w:before="0" w:after="160"/>
        <w:jc w:val="both"/>
      </w:pPr>
      <w:r>
        <w:rPr>
          <w:rFonts w:ascii="Times New Roman" w:hAnsi="Times New Roman"/>
          <w:b w:val="0"/>
          <w:i w:val="0"/>
          <w:sz w:val="24"/>
        </w:rPr>
        <w:t>Traditional SME lending in Saudi Arabia requires businesses to submit static PDF applications containing financial statements, tax records, and bank statements. These documents represent point-in-time snapshots that do not reflect the current health of an operating business. They are readily fabricated or manipulated, inaccessible to new businesses with no financial history, and processed manually, introducing both delay and human bias into what should be a data-driven decision.</w:t>
      </w:r>
    </w:p>
    <w:p>
      <w:pPr>
        <w:spacing w:line="360" w:lineRule="auto" w:before="0" w:after="160"/>
        <w:jc w:val="both"/>
      </w:pPr>
      <w:r>
        <w:rPr>
          <w:rFonts w:ascii="Times New Roman" w:hAnsi="Times New Roman"/>
          <w:b w:val="0"/>
          <w:i w:val="0"/>
          <w:sz w:val="24"/>
        </w:rPr>
        <w:t>The Saudi Financial Sector Development Program (2024) reports that SME credit as a share of total private credit rose from 8.4 percent to 9.4 percent between Q4 2023 and Q4 2024, indicating growth but also revealing the historically low penetration of formal credit among Saudi SMEs. Closing this gap requires not merely more lending but a fundamentally different approach to creditworthiness assessment.</w:t>
      </w:r>
    </w:p>
    <w:p>
      <w:pPr>
        <w:spacing w:before="240" w:after="80"/>
      </w:pPr>
      <w:r>
        <w:rPr>
          <w:rFonts w:ascii="Times New Roman" w:hAnsi="Times New Roman"/>
          <w:b/>
          <w:sz w:val="24"/>
        </w:rPr>
        <w:t>1.2  The DataCore Approach</w:t>
      </w:r>
    </w:p>
    <w:p>
      <w:pPr>
        <w:spacing w:line="360" w:lineRule="auto" w:before="0" w:after="160"/>
        <w:jc w:val="both"/>
      </w:pPr>
      <w:r>
        <w:rPr>
          <w:rFonts w:ascii="Times New Roman" w:hAnsi="Times New Roman"/>
          <w:b w:val="0"/>
          <w:i w:val="0"/>
          <w:sz w:val="24"/>
        </w:rPr>
        <w:t>DataCore replaces the static application with a continuous live data feed from three sources: point-of-sale transaction streams via Open Banking APIs compatible with Foodics and similar Saudi POS providers, bank account cash flow data, and smart energy meter consumption readings. These streams are processed in real time to derive a 15-dimensional behavioral feature vector that serves as the input to all downstream credit models.</w:t>
      </w:r>
    </w:p>
    <w:p>
      <w:pPr>
        <w:spacing w:line="360" w:lineRule="auto" w:before="0" w:after="160"/>
        <w:jc w:val="both"/>
      </w:pPr>
      <w:r>
        <w:rPr>
          <w:rFonts w:ascii="Times New Roman" w:hAnsi="Times New Roman"/>
          <w:b w:val="0"/>
          <w:i w:val="0"/>
          <w:sz w:val="24"/>
        </w:rPr>
        <w:t>The key insight is that transaction behavior encodes the financial DNA of a business. A business conducting 97 transactions per day at an average of SAR 33 per transaction exhibits fundamentally different risk characteristics than a business conducting 4 transactions per day at an average of SAR 157,000 per transaction. The former is a high-frequency consumer business with stable, predictable revenue; the latter is a high-ticket asset-sale business with volatile, lumpy income. These two profiles require entirely different credit assessment frameworks. DataCore operationalizes this insight through unsupervised behavioral clustering, enabling the bank to treat each business according to its actual financial behavior rather than its declared industry category.</w:t>
      </w:r>
    </w:p>
    <w:p>
      <w:pPr>
        <w:spacing w:before="240" w:after="80"/>
      </w:pPr>
      <w:r>
        <w:rPr>
          <w:rFonts w:ascii="Times New Roman" w:hAnsi="Times New Roman"/>
          <w:b/>
          <w:sz w:val="24"/>
        </w:rPr>
        <w:t>1.3  The Two-Track Innovation</w:t>
      </w:r>
    </w:p>
    <w:p>
      <w:pPr>
        <w:spacing w:line="360" w:lineRule="auto" w:before="0" w:after="160"/>
        <w:jc w:val="both"/>
      </w:pPr>
      <w:r>
        <w:rPr>
          <w:rFonts w:ascii="Times New Roman" w:hAnsi="Times New Roman"/>
          <w:b w:val="0"/>
          <w:i w:val="0"/>
          <w:sz w:val="24"/>
        </w:rPr>
        <w:t>A critical gap in existing automated lending systems is the cold start problem: new businesses have no transaction history and therefore cannot be assessed by data-driven models. DataCore introduces a two-track architecture that addresses this gap directly.</w:t>
      </w:r>
    </w:p>
    <w:p>
      <w:pPr>
        <w:spacing w:line="360" w:lineRule="auto" w:before="0" w:after="160"/>
        <w:jc w:val="both"/>
      </w:pPr>
      <w:r>
        <w:rPr>
          <w:rFonts w:ascii="Times New Roman" w:hAnsi="Times New Roman"/>
          <w:b w:val="0"/>
          <w:i w:val="0"/>
          <w:sz w:val="24"/>
        </w:rPr>
        <w:t>Track 1 serves existing businesses with live POS data. The behavioral classifier reads transaction history and places the business in a behavioral cluster. All downstream models — expense estimation, fraud detection, and revenue forecasting — are calibrated to that cluster's characteristics, providing contextually appropriate assessments rather than generic thresholds.</w:t>
      </w:r>
    </w:p>
    <w:p>
      <w:pPr>
        <w:spacing w:line="360" w:lineRule="auto" w:before="0" w:after="160"/>
        <w:jc w:val="both"/>
      </w:pPr>
      <w:r>
        <w:rPr>
          <w:rFonts w:ascii="Times New Roman" w:hAnsi="Times New Roman"/>
          <w:b w:val="0"/>
          <w:i w:val="0"/>
          <w:sz w:val="24"/>
        </w:rPr>
        <w:t>Track 2 serves new entrepreneurs with no business history. An intake form maps eight coarse business parameters to the same 15-dimensional behavioral feature space used by Track 1. A personal salary account provides the security mechanism: the system computes the applicant's Debt Burden Ratio (DBR) against SAMA's mandated 33 percent cap and issues a salary-backed seed loan if eligible. As the business accumulates real transaction data, the system transitions from intake-derived features to observed behavioral features using a confidence-weighted blend formula documented in Section 4.</w:t>
      </w:r>
    </w:p>
    <w:p>
      <w:r>
        <w:br w:type="page"/>
      </w:r>
    </w:p>
    <w:p>
      <w:pPr>
        <w:spacing w:before="360" w:after="120"/>
      </w:pPr>
      <w:r>
        <w:rPr>
          <w:rFonts w:ascii="Times New Roman" w:hAnsi="Times New Roman"/>
          <w:b/>
          <w:sz w:val="28"/>
        </w:rPr>
        <w:t>2.  Related Work</w:t>
      </w:r>
    </w:p>
    <w:p>
      <w:pPr>
        <w:spacing w:before="240" w:after="80"/>
      </w:pPr>
      <w:r>
        <w:rPr>
          <w:rFonts w:ascii="Times New Roman" w:hAnsi="Times New Roman"/>
          <w:b/>
          <w:sz w:val="24"/>
        </w:rPr>
        <w:t>2.1  Machine Learning in Credit Scoring</w:t>
      </w:r>
    </w:p>
    <w:p>
      <w:pPr>
        <w:spacing w:line="360" w:lineRule="auto" w:before="0" w:after="160"/>
        <w:jc w:val="both"/>
      </w:pPr>
      <w:r>
        <w:rPr>
          <w:rFonts w:ascii="Times New Roman" w:hAnsi="Times New Roman"/>
          <w:b w:val="0"/>
          <w:i w:val="0"/>
          <w:sz w:val="24"/>
        </w:rPr>
        <w:t>The application of machine learning to credit risk assessment has expanded significantly over the past decade. Mestiri (2024) compared six credit scoring models including Logistic Regression, Random Forest, Support Vector Machines, and Deep Neural Networks, finding that machine learning techniques consistently outperform traditional statistical models in predicting loan defaults. A systematic review by Kamimura et al. (2023) of 46 studies on credit scoring optimization identified a growing trend toward hybrid models (72% of recent work) and emphasized the critical need for research focused specifically on small businesses and diverse data sources — a gap that DataCore directly addresses. Traditional approaches rely on historical financial statements and credit bureau data, which fail for the majority of SMEs that operate informally or lack multi-year audited accounts. Zhang et al. (2022) demonstrated that fusing behavioral and transactional data significantly improves credit risk prediction for SMEs in supply chain finance contexts, supporting the approach taken in this work.</w:t>
      </w:r>
    </w:p>
    <w:p>
      <w:pPr>
        <w:spacing w:before="240" w:after="80"/>
      </w:pPr>
      <w:r>
        <w:rPr>
          <w:rFonts w:ascii="Times New Roman" w:hAnsi="Times New Roman"/>
          <w:b/>
          <w:sz w:val="24"/>
        </w:rPr>
        <w:t>2.2  Behavioral and Transactional Data in Lending</w:t>
      </w:r>
    </w:p>
    <w:p>
      <w:pPr>
        <w:spacing w:line="360" w:lineRule="auto" w:before="0" w:after="160"/>
        <w:jc w:val="both"/>
      </w:pPr>
      <w:r>
        <w:rPr>
          <w:rFonts w:ascii="Times New Roman" w:hAnsi="Times New Roman"/>
          <w:b w:val="0"/>
          <w:i w:val="0"/>
          <w:sz w:val="24"/>
        </w:rPr>
        <w:t>The use of transactional behavioral data for credit assessment represents a paradigm shift from static document-based evaluation. Chioda et al. (2024) demonstrated that FinTech lenders using alternative data sources can successfully extend credit to borrowers with no formal credit history — the precise cold start problem that DataCore's Track 2 pipeline addresses through salary-backed seed loans and intake form classification. The CFIT SME Finance Taskforce (2024) identified smart data integration as the primary lever for improving SME lending outcomes, recommending that lenders move toward continuous transaction monitoring rather than point-in-time assessments. DataCore implements this recommendation through its 90-day rolling transaction window and dynamic credit limit adjustment mechanism.</w:t>
      </w:r>
    </w:p>
    <w:p>
      <w:pPr>
        <w:spacing w:before="240" w:after="80"/>
      </w:pPr>
      <w:r>
        <w:rPr>
          <w:rFonts w:ascii="Times New Roman" w:hAnsi="Times New Roman"/>
          <w:b/>
          <w:sz w:val="24"/>
        </w:rPr>
        <w:t>2.3  Unsupervised Clustering in Financial Data</w:t>
      </w:r>
    </w:p>
    <w:p>
      <w:pPr>
        <w:spacing w:line="360" w:lineRule="auto" w:before="0" w:after="160"/>
        <w:jc w:val="both"/>
      </w:pPr>
      <w:r>
        <w:rPr>
          <w:rFonts w:ascii="Times New Roman" w:hAnsi="Times New Roman"/>
          <w:b w:val="0"/>
          <w:i w:val="0"/>
          <w:sz w:val="24"/>
        </w:rPr>
        <w:t>Unsupervised clustering has been applied to financial data for customer segmentation and anomaly detection. A survey by Fahim et al. (2016) evaluated clustering algorithms across financial datasets, finding density-based approaches particularly effective for datasets with irregular cluster shapes — the motivation for choosing HDBSCAN over K-Means in this work. Husmann et al. (2020) demonstrated that unsupervised machine learning can classify company data in economically meaningful ways without labeled training data, finding that unsupervised groupings improve downstream financial analysis decisions. Recent work on SME bank transaction categorization highlights a circular dependency problem in supervised approaches: classification models require labeled context but generating labels requires classification (Hussain et al., 2025). DataCore resolves this by operating entirely without labels — HDBSCAN discovers behavioral archetypes from data structure alone, requiring no annotation.</w:t>
      </w:r>
    </w:p>
    <w:p>
      <w:pPr>
        <w:spacing w:before="240" w:after="80"/>
      </w:pPr>
      <w:r>
        <w:rPr>
          <w:rFonts w:ascii="Times New Roman" w:hAnsi="Times New Roman"/>
          <w:b/>
          <w:sz w:val="24"/>
        </w:rPr>
        <w:t>2.4  Gap Addressed by This Work</w:t>
      </w:r>
    </w:p>
    <w:p>
      <w:pPr>
        <w:spacing w:line="360" w:lineRule="auto" w:before="0" w:after="160"/>
        <w:jc w:val="both"/>
      </w:pPr>
      <w:r>
        <w:rPr>
          <w:rFonts w:ascii="Times New Roman" w:hAnsi="Times New Roman"/>
          <w:b w:val="0"/>
          <w:i w:val="0"/>
          <w:sz w:val="24"/>
        </w:rPr>
        <w:t>Existing approaches share three limitations that DataCore addresses. First, they require labeled training data — industry categories, credit ratings, or historical default labels. DataCore requires no labels at any stage of the pipeline. Second, they treat all businesses within an industry category identically, ignoring behavioral differences between businesses in the same sector. A high-end specialty cafe and a fast food kiosk are both classified as food service and assessed with the same parameters. DataCore assesses each business by its actual transaction behavior. Third, they cannot assess new businesses without trading history. The cold start problem is typically addressed by requiring minimum trading periods before loan eligibility. DataCore's two-track system enables day-zero assessment through intake form classification and salary-backed seed loans, with confidence growing continuously as real data accumulates.</w:t>
      </w:r>
    </w:p>
    <w:p>
      <w:r>
        <w:br w:type="page"/>
      </w:r>
    </w:p>
    <w:p>
      <w:pPr>
        <w:spacing w:before="360" w:after="120"/>
      </w:pPr>
      <w:r>
        <w:rPr>
          <w:rFonts w:ascii="Times New Roman" w:hAnsi="Times New Roman"/>
          <w:b/>
          <w:sz w:val="28"/>
        </w:rPr>
        <w:t>3.  The Four Models</w:t>
      </w:r>
    </w:p>
    <w:p>
      <w:pPr>
        <w:spacing w:before="240" w:after="80"/>
      </w:pPr>
      <w:r>
        <w:rPr>
          <w:rFonts w:ascii="Times New Roman" w:hAnsi="Times New Roman"/>
          <w:b/>
          <w:sz w:val="24"/>
        </w:rPr>
        <w:t>3.1  Model 1 — Unsupervised Business Classifier</w:t>
      </w:r>
    </w:p>
    <w:p>
      <w:pPr>
        <w:spacing w:line="360" w:lineRule="auto" w:before="0" w:after="160"/>
        <w:jc w:val="both"/>
      </w:pPr>
      <w:r>
        <w:rPr>
          <w:rFonts w:ascii="Times New Roman" w:hAnsi="Times New Roman"/>
          <w:b w:val="0"/>
          <w:i w:val="0"/>
          <w:sz w:val="24"/>
        </w:rPr>
        <w:t>The business classifier employs Hierarchical Density-Based Spatial Clustering of Applications with Noise (HDBSCAN) applied to a 15-dimensional behavioral feature space derived from raw transaction data. HDBSCAN was selected over k-means and Gaussian mixture models because it does not require a pre-specified number of clusters, handles clusters of varying density, and explicitly identifies noise points — businesses that do not conform to any known behavioral archetype — rather than forcing them into the nearest cluster.</w:t>
      </w:r>
    </w:p>
    <w:p>
      <w:pPr>
        <w:spacing w:line="360" w:lineRule="auto" w:before="0" w:after="160"/>
        <w:jc w:val="both"/>
      </w:pPr>
      <w:r>
        <w:rPr>
          <w:rFonts w:ascii="Times New Roman" w:hAnsi="Times New Roman"/>
          <w:b w:val="0"/>
          <w:i w:val="0"/>
          <w:sz w:val="24"/>
        </w:rPr>
        <w:t>The 15 behavioral features are derived from raw timestamped transactions as follows. Average ticket size (avg_ticket_sar) captures the mean transaction amount and serves as the primary proxy for cost structure. Median ticket size (median_ticket_sar) complements the mean by providing a robust central tendency measure. Ticket coefficient of variation (ticket_cv) measures the spread of transaction amounts, distinguishing businesses with consistent pricing from those with highly variable sales. The ticket 90th-to-10th-percentile ratio (ticket_p90_p10_ratio) captures the breadth of the price range offered. Average daily transaction count (avg_daily_transactions) serves as the primary labor demand proxy. Transaction velocity (transaction_velocity) normalizes transaction count by operating hours. Active days ratio (active_days_ratio) measures the fraction of calendar days on which transactions occurred, distinguishing appointment-based businesses from daily-open operations. Peak hour concentration (peak_hour_concentration) captures the fraction of all transactions occurring in the top three hourly bins, distinguishing businesses with sharp demand peaks from those with distributed activity. Night transaction ratio (night_transaction_ratio) measures activity between 11PM and 5AM. Weekend lift (weekend_lift) measures the ratio of weekend to weekday revenue, capturing consumer-facing versus B2B business characteristics. Hour entropy (hour_entropy) provides a Shannon entropy measure of the hourly distribution. Revenue coefficient of variation (revenue_cv) measures day-to-day revenue volatility. Inter-transaction gap coefficient of variation (inter_transaction_gap_cv) captures the irregularity of timing between successive transactions. Digital payment ratio (digital_payment_ratio) and cash ratio (cash_ratio) capture the payment method profile, which correlates with business formality and fraud risk.</w:t>
      </w:r>
    </w:p>
    <w:p>
      <w:pPr>
        <w:spacing w:line="360" w:lineRule="auto" w:before="0" w:after="160"/>
        <w:jc w:val="both"/>
      </w:pPr>
      <w:r>
        <w:rPr>
          <w:rFonts w:ascii="Times New Roman" w:hAnsi="Times New Roman"/>
          <w:b w:val="0"/>
          <w:i w:val="0"/>
          <w:sz w:val="24"/>
        </w:rPr>
        <w:t>The classifier is trained on 1,800 synthetic business profiles spanning 12 behavioral archetypes. Ground-truth archetype labels are used only for post-hoc validation via Adjusted Rand Index scoring; the clustering itself is entirely unsupervised. Training results are summarized in Table 1.</w:t>
      </w:r>
    </w:p>
    <w:p>
      <w:pPr>
        <w:spacing w:before="160" w:after="40"/>
        <w:jc w:val="left"/>
      </w:pPr>
      <w:r>
        <w:rPr>
          <w:rFonts w:ascii="Times New Roman" w:hAnsi="Times New Roman"/>
          <w:b/>
          <w:i/>
          <w:sz w:val="22"/>
        </w:rPr>
        <w:t>Table 1: Business Classifier Training Results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Metric</w:t>
            </w:r>
          </w:p>
        </w:tc>
        <w:tc>
          <w:tcPr>
            <w:tcW w:type="dxa" w:w="4703"/>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Value</w:t>
            </w:r>
          </w:p>
        </w:tc>
      </w:tr>
      <w:tr>
        <w:tc>
          <w:tcPr>
            <w:tcW w:type="dxa" w:w="4703"/>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Clusters discovered</w:t>
            </w:r>
          </w:p>
        </w:tc>
        <w:tc>
          <w:tcPr>
            <w:tcW w:type="dxa" w:w="4703"/>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12</w:t>
            </w:r>
          </w:p>
        </w:tc>
      </w:tr>
      <w:tr>
        <w:tc>
          <w:tcPr>
            <w:tcW w:type="dxa" w:w="4703"/>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Archetype purity</w:t>
            </w:r>
          </w:p>
        </w:tc>
        <w:tc>
          <w:tcPr>
            <w:tcW w:type="dxa" w:w="4703"/>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100%</w:t>
            </w:r>
          </w:p>
        </w:tc>
      </w:tr>
      <w:tr>
        <w:tc>
          <w:tcPr>
            <w:tcW w:type="dxa" w:w="4703"/>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Adjusted Rand Index</w:t>
            </w:r>
          </w:p>
        </w:tc>
        <w:tc>
          <w:tcPr>
            <w:tcW w:type="dxa" w:w="4703"/>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1.0</w:t>
            </w:r>
          </w:p>
        </w:tc>
      </w:tr>
      <w:tr>
        <w:tc>
          <w:tcPr>
            <w:tcW w:type="dxa" w:w="4703"/>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Noise points</w:t>
            </w:r>
          </w:p>
        </w:tc>
        <w:tc>
          <w:tcPr>
            <w:tcW w:type="dxa" w:w="4703"/>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w:t>
            </w:r>
          </w:p>
        </w:tc>
      </w:tr>
      <w:tr>
        <w:tc>
          <w:tcPr>
            <w:tcW w:type="dxa" w:w="4703"/>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Training samples</w:t>
            </w:r>
          </w:p>
        </w:tc>
        <w:tc>
          <w:tcPr>
            <w:tcW w:type="dxa" w:w="4703"/>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1,800</w:t>
            </w:r>
          </w:p>
        </w:tc>
      </w:tr>
    </w:tbl>
    <w:p/>
    <w:p>
      <w:pPr>
        <w:spacing w:line="360" w:lineRule="auto" w:before="0" w:after="160"/>
        <w:jc w:val="both"/>
      </w:pPr>
      <w:r>
        <w:rPr>
          <w:rFonts w:ascii="Times New Roman" w:hAnsi="Times New Roman"/>
          <w:b w:val="0"/>
          <w:i w:val="0"/>
          <w:sz w:val="24"/>
        </w:rPr>
        <w:t>Validation on the six synthetic SME businesses demonstrates correct archetype assignment across all business types as shown in Table 2.</w:t>
      </w:r>
    </w:p>
    <w:p>
      <w:pPr>
        <w:spacing w:before="160" w:after="40"/>
        <w:jc w:val="left"/>
      </w:pPr>
      <w:r>
        <w:rPr>
          <w:rFonts w:ascii="Times New Roman" w:hAnsi="Times New Roman"/>
          <w:b/>
          <w:i/>
          <w:sz w:val="22"/>
        </w:rPr>
        <w:t>Table 2: Classifier Validation on Synthetic SME Businesses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Business</w:t>
            </w:r>
          </w:p>
        </w:tc>
        <w:tc>
          <w:tcPr>
            <w:tcW w:type="dxa" w:w="235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Expected Archetype</w:t>
            </w:r>
          </w:p>
        </w:tc>
        <w:tc>
          <w:tcPr>
            <w:tcW w:type="dxa" w:w="235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Assigned Cluster</w:t>
            </w:r>
          </w:p>
        </w:tc>
        <w:tc>
          <w:tcPr>
            <w:tcW w:type="dxa" w:w="235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Confidence</w:t>
            </w:r>
          </w:p>
        </w:tc>
      </w:tr>
      <w:tr>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Cafe</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high_freq_low_ticket_food</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C6</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100%</w:t>
            </w:r>
          </w:p>
        </w:tc>
      </w:tr>
      <w:tr>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Minimarket</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high_freq_mid_ticket_retail</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C4</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74%</w:t>
            </w:r>
          </w:p>
        </w:tc>
      </w:tr>
      <w:tr>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Laundromat</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low_ticket_steady_essential</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C7</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97%</w:t>
            </w:r>
          </w:p>
        </w:tc>
      </w:tr>
      <w:tr>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Real Estate</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sparse_high_ticket_brokerage</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C0</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42%</w:t>
            </w:r>
          </w:p>
        </w:tc>
      </w:tr>
      <w:tr>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Car Dealer</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low_freq_high_ticket_automotive</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C2</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25%</w:t>
            </w:r>
          </w:p>
        </w:tc>
      </w:tr>
      <w:tr>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Motorbike</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low_freq_mid_ticket_dealer</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C3</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28%</w:t>
            </w:r>
          </w:p>
        </w:tc>
      </w:tr>
    </w:tbl>
    <w:p/>
    <w:p>
      <w:pPr>
        <w:spacing w:line="360" w:lineRule="auto" w:before="0" w:after="160"/>
        <w:jc w:val="both"/>
      </w:pPr>
      <w:r>
        <w:rPr>
          <w:rFonts w:ascii="Times New Roman" w:hAnsi="Times New Roman"/>
          <w:b w:val="0"/>
          <w:i w:val="0"/>
          <w:sz w:val="24"/>
        </w:rPr>
        <w:t>External validation on six real public datasets reveals a critical data quality dependency, summarized in Table 3. On datasets with complete hour-level timestamps, classification accuracy is 100 percent (3 of 3). On datasets containing only date-level aggregation without time-of-day information, classification accuracy falls to 0 percent (0 of 3). This finding arises because temporal features — peak_hour_concentration, hour_entropy, and night_transaction_ratio — collapse to their zero values when timestamps are absent, distorting the feature vector and producing incorrect cluster assignments. This result defines a clear data quality requirement for production deployment: POS systems must transmit full datetime stamps, not date-only aggregations.</w:t>
      </w:r>
    </w:p>
    <w:p>
      <w:pPr>
        <w:spacing w:before="160" w:after="40"/>
        <w:jc w:val="left"/>
      </w:pPr>
      <w:r>
        <w:rPr>
          <w:rFonts w:ascii="Times New Roman" w:hAnsi="Times New Roman"/>
          <w:b/>
          <w:i/>
          <w:sz w:val="22"/>
        </w:rPr>
        <w:t>Table 3: External Classifier Validation on Real Public Datasets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Dataset</w:t>
            </w:r>
          </w:p>
        </w:tc>
        <w:tc>
          <w:tcPr>
            <w:tcW w:type="dxa" w:w="235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Source</w:t>
            </w:r>
          </w:p>
        </w:tc>
        <w:tc>
          <w:tcPr>
            <w:tcW w:type="dxa" w:w="235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Expected Archetype</w:t>
            </w:r>
          </w:p>
        </w:tc>
        <w:tc>
          <w:tcPr>
            <w:tcW w:type="dxa" w:w="235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Correct</w:t>
            </w:r>
          </w:p>
        </w:tc>
      </w:tr>
      <w:tr>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UCI Online Retail II</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Chen (2012)</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high_freq_retail</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Yes</w:t>
            </w:r>
          </w:p>
        </w:tc>
      </w:tr>
      <w:tr>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Coffee Shop Sales</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Maven Analytics</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high_freq_food</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Yes</w:t>
            </w:r>
          </w:p>
        </w:tc>
      </w:tr>
      <w:tr>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General Retail</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Kaggle (2024)</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high_freq_retail</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Yes</w:t>
            </w:r>
          </w:p>
        </w:tc>
      </w:tr>
      <w:tr>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Supermarket</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Kaggle (2019)</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high_freq_retail</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No*</w:t>
            </w:r>
          </w:p>
        </w:tc>
      </w:tr>
      <w:tr>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Car Dealer</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Kaggle (2023)</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low_freq_auto</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No*</w:t>
            </w:r>
          </w:p>
        </w:tc>
      </w:tr>
      <w:tr>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Real Estate</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Kaggle (2024)</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sparse_brokerage</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No*</w:t>
            </w:r>
          </w:p>
        </w:tc>
      </w:tr>
    </w:tbl>
    <w:p/>
    <w:p>
      <w:pPr>
        <w:spacing w:line="360" w:lineRule="auto" w:before="0" w:after="240"/>
        <w:jc w:val="both"/>
      </w:pPr>
      <w:r>
        <w:rPr>
          <w:rFonts w:ascii="Times New Roman" w:hAnsi="Times New Roman"/>
          <w:b w:val="0"/>
          <w:i/>
          <w:sz w:val="24"/>
        </w:rPr>
        <w:t>*Note: The three incorrect classifications share a common cause. These datasets contain only date-level timestamps without time-of-day information. On datasets with complete timestamps, classification accuracy is 100 percent.</w:t>
      </w:r>
    </w:p>
    <w:p>
      <w:pPr>
        <w:spacing w:before="240" w:after="80"/>
      </w:pPr>
      <w:r>
        <w:rPr>
          <w:rFonts w:ascii="Times New Roman" w:hAnsi="Times New Roman"/>
          <w:b/>
          <w:sz w:val="24"/>
        </w:rPr>
        <w:t>3.2  Model 2 — Behavioral Expense Estimator</w:t>
      </w:r>
    </w:p>
    <w:p>
      <w:pPr>
        <w:spacing w:line="360" w:lineRule="auto" w:before="0" w:after="160"/>
        <w:jc w:val="both"/>
      </w:pPr>
      <w:r>
        <w:rPr>
          <w:rFonts w:ascii="Times New Roman" w:hAnsi="Times New Roman"/>
          <w:b w:val="0"/>
          <w:i w:val="0"/>
          <w:sz w:val="24"/>
        </w:rPr>
        <w:t>The expense estimator derives the operating expense ratio of a business from its behavioral cluster profile without relying on hardcoded industry-specific rules. This design is motivated by the observation that behavioral signals are more reliable indicators of cost structure than declared industry categories, which can be misreported and do not capture within-industry variation. Three universal cost drivers are identified from the behavioral profile.</w:t>
      </w:r>
    </w:p>
    <w:p>
      <w:pPr>
        <w:spacing w:line="360" w:lineRule="auto" w:before="0" w:after="160"/>
        <w:jc w:val="both"/>
      </w:pPr>
      <w:r>
        <w:rPr>
          <w:rFonts w:ascii="Times New Roman" w:hAnsi="Times New Roman"/>
          <w:b w:val="0"/>
          <w:i w:val="0"/>
          <w:sz w:val="24"/>
        </w:rPr>
        <w:t>The first cost driver is Cost of Goods Sold (COGS), derived from the ticket_size behavioral tag. Low-ticket businesses transact at an average below SAR 300 and primarily sell physical products in volume, implying high COGS relative to revenue. Very-high-ticket businesses transact above SAR 50,000 and typically sell assets or high-value services where COGS is already reflected in the declared sale price, implying low additional cost burden.</w:t>
      </w:r>
    </w:p>
    <w:p>
      <w:pPr>
        <w:spacing w:line="360" w:lineRule="auto" w:before="0" w:after="160"/>
        <w:jc w:val="both"/>
      </w:pPr>
      <w:r>
        <w:rPr>
          <w:rFonts w:ascii="Times New Roman" w:hAnsi="Times New Roman"/>
          <w:b w:val="0"/>
          <w:i w:val="0"/>
          <w:sz w:val="24"/>
        </w:rPr>
        <w:t>The second cost driver is labor, derived from the transaction_velocity tag. High-velocity businesses require proportionally more staff to handle transaction volume. A food service adjustment reduces the labor component for sharp-peak businesses, reflecting that food preparation is batched during peak hours rather than distributed linearly across all transactions. The third cost driver is overhead, held constant at 0.08 across all business types to reflect universal costs of rent, utilities, and administration.</w:t>
      </w:r>
    </w:p>
    <w:p>
      <w:pPr>
        <w:spacing w:line="360" w:lineRule="auto" w:before="0" w:after="160"/>
        <w:jc w:val="both"/>
      </w:pPr>
      <w:r>
        <w:rPr>
          <w:rFonts w:ascii="Times New Roman" w:hAnsi="Times New Roman"/>
          <w:b w:val="0"/>
          <w:i w:val="0"/>
          <w:sz w:val="24"/>
        </w:rPr>
        <w:t>Benchmark validation against five published industry sources is presented in Table 4. Five of six business types achieve expense ratios within the published benchmark range. Real estate is the documented exception: commission-based brokerage revenue produces high ticket sizes that the COGS proxy maps incorrectly to low product costs, when in reality the dominant expense is agent commission labor. The production fix requires an explicit is_commission_based flag in the intake form.</w:t>
      </w:r>
    </w:p>
    <w:p>
      <w:pPr>
        <w:spacing w:before="160" w:after="40"/>
        <w:jc w:val="left"/>
      </w:pPr>
      <w:r>
        <w:rPr>
          <w:rFonts w:ascii="Times New Roman" w:hAnsi="Times New Roman"/>
          <w:b/>
          <w:i/>
          <w:sz w:val="22"/>
        </w:rPr>
        <w:t>Table 4: Model 2 Expense Ratio Benchmark Validation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Business Type</w:t>
            </w:r>
          </w:p>
        </w:tc>
        <w:tc>
          <w:tcPr>
            <w:tcW w:type="dxa" w:w="1568"/>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Model 2</w:t>
            </w:r>
          </w:p>
        </w:tc>
        <w:tc>
          <w:tcPr>
            <w:tcW w:type="dxa" w:w="1568"/>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Benchmark</w:t>
            </w:r>
          </w:p>
        </w:tc>
        <w:tc>
          <w:tcPr>
            <w:tcW w:type="dxa" w:w="1568"/>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Range</w:t>
            </w:r>
          </w:p>
        </w:tc>
        <w:tc>
          <w:tcPr>
            <w:tcW w:type="dxa" w:w="1568"/>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Source</w:t>
            </w:r>
          </w:p>
        </w:tc>
        <w:tc>
          <w:tcPr>
            <w:tcW w:type="dxa" w:w="1568"/>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Pass</w:t>
            </w:r>
          </w:p>
        </w:tc>
      </w:tr>
      <w:tr>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Cafe / F&amp;B</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0.750</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0.735</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0.65-0.82</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NRA 2023</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Yes</w:t>
            </w:r>
          </w:p>
        </w:tc>
      </w:tr>
      <w:tr>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Minimarket</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0.830</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0.800</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0.72-0.88</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Deloitte 2023</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Yes</w:t>
            </w:r>
          </w:p>
        </w:tc>
      </w:tr>
      <w:tr>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Car Dealer</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0.810</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0.825</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0.75-0.90</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NADA 2023</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Yes</w:t>
            </w:r>
          </w:p>
        </w:tc>
      </w:tr>
      <w:tr>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Motorbike</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0.860</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0.825</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0.75-0.90</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NADA 2023</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Yes</w:t>
            </w:r>
          </w:p>
        </w:tc>
      </w:tr>
      <w:tr>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Laundromat</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0.798</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0.700</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0.55-0.82</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NRA 2023</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Yes</w:t>
            </w:r>
          </w:p>
        </w:tc>
      </w:tr>
      <w:tr>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Real Estate</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0.300</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0.625</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0.55-0.70</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NAR 2023</w:t>
            </w:r>
          </w:p>
        </w:tc>
        <w:tc>
          <w:tcPr>
            <w:tcW w:type="dxa" w:w="1568"/>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No</w:t>
            </w:r>
          </w:p>
        </w:tc>
      </w:tr>
    </w:tbl>
    <w:p/>
    <w:p>
      <w:pPr>
        <w:spacing w:before="240" w:after="80"/>
      </w:pPr>
      <w:r>
        <w:rPr>
          <w:rFonts w:ascii="Times New Roman" w:hAnsi="Times New Roman"/>
          <w:b/>
          <w:sz w:val="24"/>
        </w:rPr>
        <w:t>3.3  Model 3 — Isolation Forest Fraud Detector</w:t>
      </w:r>
    </w:p>
    <w:p>
      <w:pPr>
        <w:spacing w:line="360" w:lineRule="auto" w:before="0" w:after="160"/>
        <w:jc w:val="both"/>
      </w:pPr>
      <w:r>
        <w:rPr>
          <w:rFonts w:ascii="Times New Roman" w:hAnsi="Times New Roman"/>
          <w:b w:val="0"/>
          <w:i w:val="0"/>
          <w:sz w:val="24"/>
        </w:rPr>
        <w:t>Each business receives a dedicated Isolation Forest model trained on its own 90-day transaction history. This per-business approach is the key innovation over generic fraud detection systems, which apply universal thresholds that fail to account for business-specific operating patterns. A transaction at 3AM is anomalous for a real estate office but entirely normal for a 24-hour minimarket. By training on each business's own history, the model learns what normal looks like for that specific business before flagging deviations.</w:t>
      </w:r>
    </w:p>
    <w:p>
      <w:pPr>
        <w:spacing w:line="360" w:lineRule="auto" w:before="0" w:after="160"/>
        <w:jc w:val="both"/>
      </w:pPr>
      <w:r>
        <w:rPr>
          <w:rFonts w:ascii="Times New Roman" w:hAnsi="Times New Roman"/>
          <w:b w:val="0"/>
          <w:i w:val="0"/>
          <w:sz w:val="24"/>
        </w:rPr>
        <w:t>For new businesses without sufficient transaction history, a cluster-level fallback model is trained on all businesses in the same behavioral cluster, providing contextually appropriate anomaly detection from the first day of operation. Model parameters are summarized in Table 5.</w:t>
      </w:r>
    </w:p>
    <w:p>
      <w:pPr>
        <w:spacing w:before="160" w:after="40"/>
        <w:jc w:val="left"/>
      </w:pPr>
      <w:r>
        <w:rPr>
          <w:rFonts w:ascii="Times New Roman" w:hAnsi="Times New Roman"/>
          <w:b/>
          <w:i/>
          <w:sz w:val="22"/>
        </w:rPr>
        <w:t>Table 5: Isolation Forest Model Parameters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Parameter</w:t>
            </w:r>
          </w:p>
        </w:tc>
        <w:tc>
          <w:tcPr>
            <w:tcW w:type="dxa" w:w="3135"/>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Value</w:t>
            </w:r>
          </w:p>
        </w:tc>
        <w:tc>
          <w:tcPr>
            <w:tcW w:type="dxa" w:w="3135"/>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Rationale</w:t>
            </w:r>
          </w:p>
        </w:tc>
      </w:tr>
      <w:tr>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n_estimators</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200</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Balance between accuracy and inference speed</w:t>
            </w:r>
          </w:p>
        </w:tc>
      </w:tr>
      <w:tr>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contamination</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0.01</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 expected anomaly rate (strict threshold)</w:t>
            </w:r>
          </w:p>
        </w:tc>
      </w:tr>
      <w:tr>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max_samples</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auto</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Full dataset sampled per tree</w:t>
            </w:r>
          </w:p>
        </w:tc>
      </w:tr>
      <w:tr>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Features</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15</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Transaction-level engineered behavioral features</w:t>
            </w:r>
          </w:p>
        </w:tc>
      </w:tr>
    </w:tbl>
    <w:p/>
    <w:p>
      <w:pPr>
        <w:spacing w:line="360" w:lineRule="auto" w:before="0" w:after="160"/>
        <w:jc w:val="both"/>
      </w:pPr>
      <w:r>
        <w:rPr>
          <w:rFonts w:ascii="Times New Roman" w:hAnsi="Times New Roman"/>
          <w:b w:val="0"/>
          <w:i w:val="0"/>
          <w:sz w:val="24"/>
        </w:rPr>
        <w:t>Fraud detection results across the six synthetic businesses are summarized in Table 6. All injected anomalies were detected. Two businesses — Minimarket and Motorbike — received frozen status due to critical-severity anomaly flags, suspending their credit approval pending manual review.</w:t>
      </w:r>
    </w:p>
    <w:p>
      <w:pPr>
        <w:spacing w:before="160" w:after="40"/>
        <w:jc w:val="left"/>
      </w:pPr>
      <w:r>
        <w:rPr>
          <w:rFonts w:ascii="Times New Roman" w:hAnsi="Times New Roman"/>
          <w:b/>
          <w:i/>
          <w:sz w:val="22"/>
        </w:rPr>
        <w:t>Table 6: Fraud Detection Results Across All Six Businesses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Business</w:t>
            </w:r>
          </w:p>
        </w:tc>
        <w:tc>
          <w:tcPr>
            <w:tcW w:type="dxa" w:w="188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Status</w:t>
            </w:r>
          </w:p>
        </w:tc>
        <w:tc>
          <w:tcPr>
            <w:tcW w:type="dxa" w:w="188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Score</w:t>
            </w:r>
          </w:p>
        </w:tc>
        <w:tc>
          <w:tcPr>
            <w:tcW w:type="dxa" w:w="188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Anomalies</w:t>
            </w:r>
          </w:p>
        </w:tc>
        <w:tc>
          <w:tcPr>
            <w:tcW w:type="dxa" w:w="188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Key Finding</w:t>
            </w:r>
          </w:p>
        </w:tc>
      </w:tr>
      <w:tr>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Cafe</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Flagged</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40</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Behavioral anomaly (first-day pattern)</w:t>
            </w:r>
          </w:p>
        </w:tc>
      </w:tr>
      <w:tr>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Minimarket</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Frozen</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100</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3</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SAR 5,927 outlier + behavioral anomalies</w:t>
            </w:r>
          </w:p>
        </w:tc>
      </w:tr>
      <w:tr>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Laundromat</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Flagged</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40</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Behavioral anomaly (first-day pattern)</w:t>
            </w:r>
          </w:p>
        </w:tc>
      </w:tr>
      <w:tr>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Real Estate</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Flagged</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25</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Behavioral anomaly flag</w:t>
            </w:r>
          </w:p>
        </w:tc>
      </w:tr>
      <w:tr>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Car Dealer</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Frozen</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80</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2</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SAR 1,071,266 amount outlier + behavioral</w:t>
            </w:r>
          </w:p>
        </w:tc>
      </w:tr>
      <w:tr>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Motorbike</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Frozen</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100</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7</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Seven SAR 90,000+ amount outliers</w:t>
            </w:r>
          </w:p>
        </w:tc>
      </w:tr>
    </w:tbl>
    <w:p/>
    <w:p>
      <w:pPr>
        <w:spacing w:before="240" w:after="80"/>
      </w:pPr>
      <w:r>
        <w:rPr>
          <w:rFonts w:ascii="Times New Roman" w:hAnsi="Times New Roman"/>
          <w:b/>
          <w:sz w:val="24"/>
        </w:rPr>
        <w:t>3.4  Model 4 — Prophet Revenue Forecaster</w:t>
      </w:r>
    </w:p>
    <w:p>
      <w:pPr>
        <w:spacing w:line="360" w:lineRule="auto" w:before="0" w:after="160"/>
        <w:jc w:val="both"/>
      </w:pPr>
      <w:r>
        <w:rPr>
          <w:rFonts w:ascii="Times New Roman" w:hAnsi="Times New Roman"/>
          <w:b w:val="0"/>
          <w:i w:val="0"/>
          <w:sz w:val="24"/>
        </w:rPr>
        <w:t>Facebook Prophet forecasts the next 30 days of daily revenue from the preceding 90 days of transaction history. Prophet was selected for its native support for multiple seasonality components and its interpretable decomposition into trend, weekly, and yearly components. Saudi-specific weekly seasonality is incorporated to account for the Thursday-Friday weekend pattern that differs from the standard Monday-Sunday week assumed by Prophet's defaults.</w:t>
      </w:r>
    </w:p>
    <w:p>
      <w:pPr>
        <w:spacing w:line="360" w:lineRule="auto" w:before="0" w:after="160"/>
        <w:jc w:val="both"/>
      </w:pPr>
      <w:r>
        <w:rPr>
          <w:rFonts w:ascii="Times New Roman" w:hAnsi="Times New Roman"/>
          <w:b w:val="0"/>
          <w:i w:val="0"/>
          <w:sz w:val="24"/>
        </w:rPr>
        <w:t>The forecast output drives dynamic credit limit adjustment via a multiplier formula applied to the base DSCR-derived credit limit. For growing businesses, the limit is expanded by up to 25 percent; for declining businesses, it is reduced by up to 20 percent. A confidence penalty is additionally applied when the 80 percent uncertainty band exceeds 150 percent of the forecast mean, reflecting cases where the model is predicting a volatile business with low certainty.</w:t>
      </w:r>
    </w:p>
    <w:p>
      <w:pPr>
        <w:spacing w:line="360" w:lineRule="auto" w:before="0" w:after="160"/>
        <w:jc w:val="both"/>
      </w:pPr>
      <w:r>
        <w:rPr>
          <w:rFonts w:ascii="Times New Roman" w:hAnsi="Times New Roman"/>
          <w:b w:val="0"/>
          <w:i w:val="0"/>
          <w:sz w:val="24"/>
        </w:rPr>
        <w:t>Validation results from a chronological 70/30 train-test split on UCI Online Retail I data are presented in Table 7. The high MAPE reflects a boundary condition in the validation methodology: the test period coincides with the Christmas retail surge in the UK market, which Prophet could not predict having observed only one seasonal cycle in the training period. In production deployment, DataCore maintains a continuous rolling training window that grows with each business relationship, improving forecast accuracy as documented in Taylor and Letham (2018). The synthetic business results reflect the expected limitation of training Prophet on sparse-business test sets where zero-revenue days inflate MAPE due to near-zero denominators. The cafe, which operates daily without zero-revenue gaps, achieves a synthetic MAPE of 80.5% on a 27-day test window, consistent with the UCI result.</w:t>
      </w:r>
    </w:p>
    <w:p>
      <w:pPr>
        <w:spacing w:before="160" w:after="40"/>
        <w:jc w:val="left"/>
      </w:pPr>
      <w:r>
        <w:rPr>
          <w:rFonts w:ascii="Times New Roman" w:hAnsi="Times New Roman"/>
          <w:b/>
          <w:i/>
          <w:sz w:val="22"/>
        </w:rPr>
        <w:t>Table 7: Prophet Forecast Validation Results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Metric</w:t>
            </w:r>
          </w:p>
        </w:tc>
        <w:tc>
          <w:tcPr>
            <w:tcW w:type="dxa" w:w="3135"/>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UCI Real Data</w:t>
            </w:r>
          </w:p>
        </w:tc>
        <w:tc>
          <w:tcPr>
            <w:tcW w:type="dxa" w:w="3135"/>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Synthetic (note)</w:t>
            </w:r>
          </w:p>
        </w:tc>
      </w:tr>
      <w:tr>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MAPE</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68.2%</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80.5% cafe; 998-1186% sparse (MAPE inflated by zero-rev days)</w:t>
            </w:r>
          </w:p>
        </w:tc>
      </w:tr>
      <w:tr>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R²</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-3.50</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Negative (underfitting on sparse businesses)</w:t>
            </w:r>
          </w:p>
        </w:tc>
      </w:tr>
      <w:tr>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80% CI Coverage</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23.1%</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0-18% (sparse); 18% (cafe)</w:t>
            </w:r>
          </w:p>
        </w:tc>
      </w:tr>
      <w:tr>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Test Period</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92 days</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27 days (90-day data, 70/30 split)</w:t>
            </w:r>
          </w:p>
        </w:tc>
      </w:tr>
      <w:tr>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Dataset</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UCI Online Retail I (Chen 2012)</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6 synthetic SME businesses</w:t>
            </w:r>
          </w:p>
        </w:tc>
      </w:tr>
    </w:tbl>
    <w:p/>
    <w:p>
      <w:r>
        <w:br w:type="page"/>
      </w:r>
    </w:p>
    <w:p>
      <w:pPr>
        <w:spacing w:before="360" w:after="120"/>
      </w:pPr>
      <w:r>
        <w:rPr>
          <w:rFonts w:ascii="Times New Roman" w:hAnsi="Times New Roman"/>
          <w:b/>
          <w:sz w:val="28"/>
        </w:rPr>
        <w:t>4.  Key Formulas</w:t>
      </w:r>
    </w:p>
    <w:p>
      <w:pPr>
        <w:spacing w:before="240" w:after="80"/>
      </w:pPr>
      <w:r>
        <w:rPr>
          <w:rFonts w:ascii="Times New Roman" w:hAnsi="Times New Roman"/>
          <w:b/>
          <w:sz w:val="24"/>
        </w:rPr>
        <w:t>4.1  Debt Service Coverage Ratio (DSCR)</w:t>
      </w:r>
    </w:p>
    <w:p>
      <w:pPr>
        <w:spacing w:line="360" w:lineRule="auto" w:before="0" w:after="120"/>
        <w:jc w:val="both"/>
      </w:pPr>
      <w:r>
        <w:rPr>
          <w:rFonts w:ascii="Times New Roman" w:hAnsi="Times New Roman"/>
          <w:b w:val="0"/>
          <w:i w:val="0"/>
          <w:sz w:val="24"/>
        </w:rPr>
        <w:t>The DSCR measures a business's ability to service debt from its operating income. A DSCR greater than 1.0 indicates that net operating income exceeds the annual debt obligation. The formulas are as follows.</w:t>
      </w:r>
    </w:p>
    <w:p>
      <w:pPr>
        <w:spacing w:before="80" w:after="80" w:line="240" w:lineRule="auto"/>
        <w:ind w:left="567"/>
      </w:pPr>
      <w:r>
        <w:rPr>
          <w:rFonts w:ascii="Courier New" w:hAnsi="Courier New"/>
          <w:sz w:val="20"/>
        </w:rPr>
        <w:t>DSCR = Net Operating Income (NOI) / Annual Debt Service</w:t>
      </w:r>
    </w:p>
    <w:p>
      <w:pPr>
        <w:spacing w:before="80" w:after="80" w:line="240" w:lineRule="auto"/>
        <w:ind w:left="567"/>
      </w:pPr>
      <w:r>
        <w:rPr>
          <w:rFonts w:ascii="Courier New" w:hAnsi="Courier New"/>
          <w:sz w:val="20"/>
        </w:rPr>
        <w:t>NOI  = Total Revenue x (1 - Expense Ratio)</w:t>
      </w:r>
    </w:p>
    <w:p>
      <w:pPr>
        <w:spacing w:before="80" w:after="80" w:line="240" w:lineRule="auto"/>
        <w:ind w:left="567"/>
      </w:pPr>
      <w:r>
        <w:rPr>
          <w:rFonts w:ascii="Courier New" w:hAnsi="Courier New"/>
          <w:sz w:val="20"/>
        </w:rPr>
        <w:t>Annual Debt Service = Monthly Payment x 12</w:t>
      </w:r>
    </w:p>
    <w:p>
      <w:pPr>
        <w:spacing w:before="80" w:after="80" w:line="240" w:lineRule="auto"/>
        <w:ind w:left="567"/>
      </w:pPr>
      <w:r>
        <w:rPr>
          <w:rFonts w:ascii="Courier New" w:hAnsi="Courier New"/>
          <w:sz w:val="20"/>
        </w:rPr>
        <w:t>Monthly Payment = P x [r(1+r)^n] / [(1+r)^n - 1]</w:t>
      </w:r>
    </w:p>
    <w:p>
      <w:pPr>
        <w:spacing w:before="80" w:after="80" w:line="240" w:lineRule="auto"/>
        <w:ind w:left="567"/>
      </w:pPr>
      <w:r>
        <w:rPr>
          <w:rFonts w:ascii="Courier New" w:hAnsi="Courier New"/>
          <w:sz w:val="20"/>
        </w:rPr>
      </w:r>
    </w:p>
    <w:p>
      <w:pPr>
        <w:spacing w:before="80" w:after="80" w:line="240" w:lineRule="auto"/>
        <w:ind w:left="567"/>
      </w:pPr>
      <w:r>
        <w:rPr>
          <w:rFonts w:ascii="Courier New" w:hAnsi="Courier New"/>
          <w:sz w:val="20"/>
        </w:rPr>
        <w:t>Where:  P = loan principal</w:t>
      </w:r>
    </w:p>
    <w:p>
      <w:pPr>
        <w:spacing w:before="80" w:after="80" w:line="240" w:lineRule="auto"/>
        <w:ind w:left="567"/>
      </w:pPr>
      <w:r>
        <w:rPr>
          <w:rFonts w:ascii="Courier New" w:hAnsi="Courier New"/>
          <w:sz w:val="20"/>
        </w:rPr>
        <w:t xml:space="preserve">        r = monthly interest rate (annual rate / 12)</w:t>
      </w:r>
    </w:p>
    <w:p>
      <w:pPr>
        <w:spacing w:before="80" w:after="80" w:line="240" w:lineRule="auto"/>
        <w:ind w:left="567"/>
      </w:pPr>
      <w:r>
        <w:rPr>
          <w:rFonts w:ascii="Courier New" w:hAnsi="Courier New"/>
          <w:sz w:val="20"/>
        </w:rPr>
        <w:t xml:space="preserve">        n = loan term in months</w:t>
      </w:r>
    </w:p>
    <w:p>
      <w:pPr>
        <w:spacing w:line="360" w:lineRule="auto" w:before="160" w:after="160"/>
        <w:jc w:val="both"/>
      </w:pPr>
      <w:r>
        <w:rPr>
          <w:rFonts w:ascii="Times New Roman" w:hAnsi="Times New Roman"/>
          <w:b w:val="0"/>
          <w:i w:val="0"/>
          <w:sz w:val="24"/>
        </w:rPr>
        <w:t>Credit limits are assigned in risk tiers: DSCR &gt;= 2.0 earns very_low risk with 70 percent of maximum eligible credit; DSCR &gt;= 1.5 earns low risk with 55 percent; DSCR &gt;= 1.25 earns medium risk with 40 percent; DSCR &gt;= 1.0 earns high risk with 25 percent; and DSCR &lt; 1.0 results in a critical classification with zero credit approved.</w:t>
      </w:r>
    </w:p>
    <w:p>
      <w:pPr>
        <w:spacing w:before="240" w:after="80"/>
      </w:pPr>
      <w:r>
        <w:rPr>
          <w:rFonts w:ascii="Times New Roman" w:hAnsi="Times New Roman"/>
          <w:b/>
          <w:sz w:val="24"/>
        </w:rPr>
        <w:t>4.2  Debt Burden Ratio (DBR) — SAMA Compliant</w:t>
      </w:r>
    </w:p>
    <w:p>
      <w:pPr>
        <w:spacing w:line="360" w:lineRule="auto" w:before="0" w:after="120"/>
        <w:jc w:val="both"/>
      </w:pPr>
      <w:r>
        <w:rPr>
          <w:rFonts w:ascii="Times New Roman" w:hAnsi="Times New Roman"/>
          <w:b w:val="0"/>
          <w:i w:val="0"/>
          <w:sz w:val="24"/>
        </w:rPr>
        <w:t>The DBR governs the Track 2 seed loan for new businesses. SAMA mandates that total monthly debt obligations must not exceed 33 percent of gross monthly salary.</w:t>
      </w:r>
    </w:p>
    <w:p>
      <w:pPr>
        <w:spacing w:before="80" w:after="80" w:line="240" w:lineRule="auto"/>
        <w:ind w:left="567"/>
      </w:pPr>
      <w:r>
        <w:rPr>
          <w:rFonts w:ascii="Courier New" w:hAnsi="Courier New"/>
          <w:sz w:val="20"/>
        </w:rPr>
        <w:t>DBR = (Existing Obligations + New Loan Monthly Payment)</w:t>
      </w:r>
    </w:p>
    <w:p>
      <w:pPr>
        <w:spacing w:before="80" w:after="80" w:line="240" w:lineRule="auto"/>
        <w:ind w:left="567"/>
      </w:pPr>
      <w:r>
        <w:rPr>
          <w:rFonts w:ascii="Courier New" w:hAnsi="Courier New"/>
          <w:sz w:val="20"/>
        </w:rPr>
        <w:t xml:space="preserve">      / Gross Monthly Salary</w:t>
      </w:r>
    </w:p>
    <w:p>
      <w:pPr>
        <w:spacing w:before="80" w:after="80" w:line="240" w:lineRule="auto"/>
        <w:ind w:left="567"/>
      </w:pPr>
      <w:r>
        <w:rPr>
          <w:rFonts w:ascii="Courier New" w:hAnsi="Courier New"/>
          <w:sz w:val="20"/>
        </w:rPr>
      </w:r>
    </w:p>
    <w:p>
      <w:pPr>
        <w:spacing w:before="80" w:after="80" w:line="240" w:lineRule="auto"/>
        <w:ind w:left="567"/>
      </w:pPr>
      <w:r>
        <w:rPr>
          <w:rFonts w:ascii="Courier New" w:hAnsi="Courier New"/>
          <w:sz w:val="20"/>
        </w:rPr>
        <w:t>SAMA Cap:  DBR &lt;= 0.33</w:t>
      </w:r>
    </w:p>
    <w:p>
      <w:pPr>
        <w:spacing w:before="80" w:after="80" w:line="240" w:lineRule="auto"/>
        <w:ind w:left="567"/>
      </w:pPr>
      <w:r>
        <w:rPr>
          <w:rFonts w:ascii="Courier New" w:hAnsi="Courier New"/>
          <w:sz w:val="20"/>
        </w:rPr>
      </w:r>
    </w:p>
    <w:p>
      <w:pPr>
        <w:spacing w:before="80" w:after="80" w:line="240" w:lineRule="auto"/>
        <w:ind w:left="567"/>
      </w:pPr>
      <w:r>
        <w:rPr>
          <w:rFonts w:ascii="Courier New" w:hAnsi="Courier New"/>
          <w:sz w:val="20"/>
        </w:rPr>
        <w:t>Max Eligible Loan = (Salary x 0.33 - Existing Obligations)</w:t>
      </w:r>
    </w:p>
    <w:p>
      <w:pPr>
        <w:spacing w:before="80" w:after="80" w:line="240" w:lineRule="auto"/>
        <w:ind w:left="567"/>
      </w:pPr>
      <w:r>
        <w:rPr>
          <w:rFonts w:ascii="Courier New" w:hAnsi="Courier New"/>
          <w:sz w:val="20"/>
        </w:rPr>
        <w:t xml:space="preserve">                  x Loan Term Months</w:t>
      </w:r>
    </w:p>
    <w:p>
      <w:pPr>
        <w:spacing w:line="360" w:lineRule="auto" w:before="160" w:after="160"/>
        <w:jc w:val="both"/>
      </w:pPr>
      <w:r>
        <w:rPr>
          <w:rFonts w:ascii="Times New Roman" w:hAnsi="Times New Roman"/>
          <w:b w:val="0"/>
          <w:i w:val="0"/>
          <w:sz w:val="24"/>
        </w:rPr>
        <w:t>The system reports the maximum eligible loan amount when an applicant is declined, enabling the applicant to structure a compliant application. This reduces friction and increases approval rates for borderline cases.</w:t>
      </w:r>
    </w:p>
    <w:p>
      <w:pPr>
        <w:spacing w:before="240" w:after="80"/>
      </w:pPr>
      <w:r>
        <w:rPr>
          <w:rFonts w:ascii="Times New Roman" w:hAnsi="Times New Roman"/>
          <w:b/>
          <w:sz w:val="24"/>
        </w:rPr>
        <w:t>4.3  Two-Track Confidence Blend Formula</w:t>
      </w:r>
    </w:p>
    <w:p>
      <w:pPr>
        <w:spacing w:line="360" w:lineRule="auto" w:before="0" w:after="120"/>
        <w:jc w:val="both"/>
      </w:pPr>
      <w:r>
        <w:rPr>
          <w:rFonts w:ascii="Times New Roman" w:hAnsi="Times New Roman"/>
          <w:b w:val="0"/>
          <w:i w:val="0"/>
          <w:sz w:val="24"/>
        </w:rPr>
        <w:t>As a Track 2 business accumulates real transaction data, the system transitions its feature vector from intake-form-derived estimates to observed behavioral features using a linear blend weighted by the number of days of real data collected.</w:t>
      </w:r>
    </w:p>
    <w:p>
      <w:pPr>
        <w:spacing w:before="80" w:after="80" w:line="240" w:lineRule="auto"/>
        <w:ind w:left="567"/>
      </w:pPr>
      <w:r>
        <w:rPr>
          <w:rFonts w:ascii="Courier New" w:hAnsi="Courier New"/>
          <w:sz w:val="20"/>
        </w:rPr>
        <w:t>weight_real = min(data_days / 30.0, 1.0)</w:t>
      </w:r>
    </w:p>
    <w:p>
      <w:pPr>
        <w:spacing w:before="80" w:after="80" w:line="240" w:lineRule="auto"/>
        <w:ind w:left="567"/>
      </w:pPr>
      <w:r>
        <w:rPr>
          <w:rFonts w:ascii="Courier New" w:hAnsi="Courier New"/>
          <w:sz w:val="20"/>
        </w:rPr>
      </w:r>
    </w:p>
    <w:p>
      <w:pPr>
        <w:spacing w:before="80" w:after="80" w:line="240" w:lineRule="auto"/>
        <w:ind w:left="567"/>
      </w:pPr>
      <w:r>
        <w:rPr>
          <w:rFonts w:ascii="Courier New" w:hAnsi="Courier New"/>
          <w:sz w:val="20"/>
        </w:rPr>
        <w:t>blended[f]  = real[f]   x weight_real</w:t>
      </w:r>
    </w:p>
    <w:p>
      <w:pPr>
        <w:spacing w:before="80" w:after="80" w:line="240" w:lineRule="auto"/>
        <w:ind w:left="567"/>
      </w:pPr>
      <w:r>
        <w:rPr>
          <w:rFonts w:ascii="Courier New" w:hAnsi="Courier New"/>
          <w:sz w:val="20"/>
        </w:rPr>
        <w:t xml:space="preserve">            + intake[f] x (1 - weight_real)</w:t>
      </w:r>
    </w:p>
    <w:p>
      <w:pPr>
        <w:spacing w:before="80" w:after="80" w:line="240" w:lineRule="auto"/>
        <w:ind w:left="567"/>
      </w:pPr>
      <w:r>
        <w:rPr>
          <w:rFonts w:ascii="Courier New" w:hAnsi="Courier New"/>
          <w:sz w:val="20"/>
        </w:rPr>
      </w:r>
    </w:p>
    <w:p>
      <w:pPr>
        <w:spacing w:before="80" w:after="80" w:line="240" w:lineRule="auto"/>
        <w:ind w:left="567"/>
      </w:pPr>
      <w:r>
        <w:rPr>
          <w:rFonts w:ascii="Courier New" w:hAnsi="Courier New"/>
          <w:sz w:val="20"/>
        </w:rPr>
        <w:t>Where:  f         = any of the 15 behavioral features</w:t>
      </w:r>
    </w:p>
    <w:p>
      <w:pPr>
        <w:spacing w:before="80" w:after="80" w:line="240" w:lineRule="auto"/>
        <w:ind w:left="567"/>
      </w:pPr>
      <w:r>
        <w:rPr>
          <w:rFonts w:ascii="Courier New" w:hAnsi="Courier New"/>
          <w:sz w:val="20"/>
        </w:rPr>
        <w:t xml:space="preserve">        data_days = days of real POS data collected</w:t>
      </w:r>
    </w:p>
    <w:p>
      <w:pPr>
        <w:spacing w:before="80" w:after="80" w:line="240" w:lineRule="auto"/>
        <w:ind w:left="567"/>
      </w:pPr>
      <w:r>
        <w:rPr>
          <w:rFonts w:ascii="Courier New" w:hAnsi="Courier New"/>
          <w:sz w:val="20"/>
        </w:rPr>
        <w:t xml:space="preserve">        real[f]   = feature from observed transactions</w:t>
      </w:r>
    </w:p>
    <w:p>
      <w:pPr>
        <w:spacing w:before="80" w:after="80" w:line="240" w:lineRule="auto"/>
        <w:ind w:left="567"/>
      </w:pPr>
      <w:r>
        <w:rPr>
          <w:rFonts w:ascii="Courier New" w:hAnsi="Courier New"/>
          <w:sz w:val="20"/>
        </w:rPr>
        <w:t xml:space="preserve">        intake[f] = feature mapped from intake form</w:t>
      </w:r>
    </w:p>
    <w:p>
      <w:pPr>
        <w:spacing w:line="360" w:lineRule="auto" w:before="160" w:after="160"/>
        <w:jc w:val="both"/>
      </w:pPr>
      <w:r>
        <w:rPr>
          <w:rFonts w:ascii="Times New Roman" w:hAnsi="Times New Roman"/>
          <w:b w:val="0"/>
          <w:i w:val="0"/>
          <w:sz w:val="24"/>
        </w:rPr>
        <w:t>At data_days = 0, the assessment is 100 percent intake-form derived with appropriately reduced confidence scores. At data_days = 30, the assessment is 100 percent based on real transaction data. The linear transition between these bounds provides a smooth graduation from predicted to observed behavioral profiles.</w:t>
      </w:r>
    </w:p>
    <w:p>
      <w:pPr>
        <w:spacing w:before="240" w:after="80"/>
      </w:pPr>
      <w:r>
        <w:rPr>
          <w:rFonts w:ascii="Times New Roman" w:hAnsi="Times New Roman"/>
          <w:b/>
          <w:sz w:val="24"/>
        </w:rPr>
        <w:t>4.4  Sustainability Discount Formula</w:t>
      </w:r>
    </w:p>
    <w:p>
      <w:pPr>
        <w:spacing w:line="360" w:lineRule="auto" w:before="0" w:after="120"/>
        <w:jc w:val="both"/>
      </w:pPr>
      <w:r>
        <w:rPr>
          <w:rFonts w:ascii="Times New Roman" w:hAnsi="Times New Roman"/>
          <w:b w:val="0"/>
          <w:i w:val="0"/>
          <w:sz w:val="24"/>
        </w:rPr>
        <w:t>Businesses operating with high energy efficiency qualify for an interest rate reduction that incentivizes green operations. The discount is computed from smart energy meter data.</w:t>
      </w:r>
    </w:p>
    <w:p>
      <w:pPr>
        <w:spacing w:before="80" w:after="80" w:line="240" w:lineRule="auto"/>
        <w:ind w:left="567"/>
      </w:pPr>
      <w:r>
        <w:rPr>
          <w:rFonts w:ascii="Courier New" w:hAnsi="Courier New"/>
          <w:sz w:val="20"/>
        </w:rPr>
        <w:t>If avg_efficiency &gt; 0.70 AND green_days &gt;= 3:</w:t>
      </w:r>
    </w:p>
    <w:p>
      <w:pPr>
        <w:spacing w:before="80" w:after="80" w:line="240" w:lineRule="auto"/>
        <w:ind w:left="567"/>
      </w:pPr>
      <w:r>
        <w:rPr>
          <w:rFonts w:ascii="Courier New" w:hAnsi="Courier New"/>
          <w:sz w:val="20"/>
        </w:rPr>
        <w:t xml:space="preserve">    discount = 0.010  (1.0 percentage point reduction)</w:t>
      </w:r>
    </w:p>
    <w:p>
      <w:pPr>
        <w:spacing w:before="80" w:after="80" w:line="240" w:lineRule="auto"/>
        <w:ind w:left="567"/>
      </w:pPr>
      <w:r>
        <w:rPr>
          <w:rFonts w:ascii="Courier New" w:hAnsi="Courier New"/>
          <w:sz w:val="20"/>
        </w:rPr>
      </w:r>
    </w:p>
    <w:p>
      <w:pPr>
        <w:spacing w:before="80" w:after="80" w:line="240" w:lineRule="auto"/>
        <w:ind w:left="567"/>
      </w:pPr>
      <w:r>
        <w:rPr>
          <w:rFonts w:ascii="Courier New" w:hAnsi="Courier New"/>
          <w:sz w:val="20"/>
        </w:rPr>
        <w:t>Else if avg_efficiency &gt; 0.60 AND green_days &gt;= 2:</w:t>
      </w:r>
    </w:p>
    <w:p>
      <w:pPr>
        <w:spacing w:before="80" w:after="80" w:line="240" w:lineRule="auto"/>
        <w:ind w:left="567"/>
      </w:pPr>
      <w:r>
        <w:rPr>
          <w:rFonts w:ascii="Courier New" w:hAnsi="Courier New"/>
          <w:sz w:val="20"/>
        </w:rPr>
        <w:t xml:space="preserve">    discount = 0.005  (0.5 percentage point reduction)</w:t>
      </w:r>
    </w:p>
    <w:p>
      <w:pPr>
        <w:spacing w:before="80" w:after="80" w:line="240" w:lineRule="auto"/>
        <w:ind w:left="567"/>
      </w:pPr>
      <w:r>
        <w:rPr>
          <w:rFonts w:ascii="Courier New" w:hAnsi="Courier New"/>
          <w:sz w:val="20"/>
        </w:rPr>
      </w:r>
    </w:p>
    <w:p>
      <w:pPr>
        <w:spacing w:before="80" w:after="80" w:line="240" w:lineRule="auto"/>
        <w:ind w:left="567"/>
      </w:pPr>
      <w:r>
        <w:rPr>
          <w:rFonts w:ascii="Courier New" w:hAnsi="Courier New"/>
          <w:sz w:val="20"/>
        </w:rPr>
        <w:t>final_rate = base_rate - discount</w:t>
      </w:r>
    </w:p>
    <w:p>
      <w:r>
        <w:br w:type="page"/>
      </w:r>
    </w:p>
    <w:p>
      <w:pPr>
        <w:spacing w:before="360" w:after="120"/>
      </w:pPr>
      <w:r>
        <w:rPr>
          <w:rFonts w:ascii="Times New Roman" w:hAnsi="Times New Roman"/>
          <w:b/>
          <w:sz w:val="28"/>
        </w:rPr>
        <w:t>5.  Validation Summary</w:t>
      </w:r>
    </w:p>
    <w:p>
      <w:pPr>
        <w:spacing w:before="240" w:after="80"/>
      </w:pPr>
      <w:r>
        <w:rPr>
          <w:rFonts w:ascii="Times New Roman" w:hAnsi="Times New Roman"/>
          <w:b/>
          <w:sz w:val="24"/>
        </w:rPr>
        <w:t>5.1  Overall Validation Results</w:t>
      </w:r>
    </w:p>
    <w:p>
      <w:pPr>
        <w:spacing w:before="160" w:after="40"/>
        <w:jc w:val="left"/>
      </w:pPr>
      <w:r>
        <w:rPr>
          <w:rFonts w:ascii="Times New Roman" w:hAnsi="Times New Roman"/>
          <w:b/>
          <w:i/>
          <w:sz w:val="22"/>
        </w:rPr>
        <w:t>Table 8: Overall Validation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Component</w:t>
            </w:r>
          </w:p>
        </w:tc>
        <w:tc>
          <w:tcPr>
            <w:tcW w:type="dxa" w:w="235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Validation Method</w:t>
            </w:r>
          </w:p>
        </w:tc>
        <w:tc>
          <w:tcPr>
            <w:tcW w:type="dxa" w:w="235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Result</w:t>
            </w:r>
          </w:p>
        </w:tc>
        <w:tc>
          <w:tcPr>
            <w:tcW w:type="dxa" w:w="235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Status</w:t>
            </w:r>
          </w:p>
        </w:tc>
      </w:tr>
      <w:tr>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Model 1 Classifier</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6 real datasets (3 with full timestamps)</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3/3 correct on complete-timestamp data</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Paper-ready</w:t>
            </w:r>
          </w:p>
        </w:tc>
      </w:tr>
      <w:tr>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Model 2 Expense Estimator</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Published industry benchmarks</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5/6 within benchmark range</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Paper-ready</w:t>
            </w:r>
          </w:p>
        </w:tc>
      </w:tr>
      <w:tr>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Model 3 Fraud Detector</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Injected anomaly detection</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All injected anomalies detected</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Paper-ready</w:t>
            </w:r>
          </w:p>
        </w:tc>
      </w:tr>
      <w:tr>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Model 4 Prophet Forecaster</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UCI chronological train/test split</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MAPE documented with limitations noted</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Paper-ready</w:t>
            </w:r>
          </w:p>
        </w:tc>
      </w:tr>
      <w:tr>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Two-track system</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Intake form classification tests</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Correct cluster assignment on all test cases</w:t>
            </w:r>
          </w:p>
        </w:tc>
        <w:tc>
          <w:tcPr>
            <w:tcW w:type="dxa" w:w="235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Paper-ready</w:t>
            </w:r>
          </w:p>
        </w:tc>
      </w:tr>
    </w:tbl>
    <w:p/>
    <w:p>
      <w:pPr>
        <w:spacing w:before="240" w:after="80"/>
      </w:pPr>
      <w:r>
        <w:rPr>
          <w:rFonts w:ascii="Times New Roman" w:hAnsi="Times New Roman"/>
          <w:b/>
          <w:sz w:val="24"/>
        </w:rPr>
        <w:t>5.2  Known Limitations</w:t>
      </w:r>
    </w:p>
    <w:p>
      <w:pPr>
        <w:spacing w:line="360" w:lineRule="auto" w:before="0" w:after="160"/>
        <w:jc w:val="both"/>
      </w:pPr>
      <w:r>
        <w:rPr>
          <w:rFonts w:ascii="Times New Roman" w:hAnsi="Times New Roman"/>
          <w:b w:val="0"/>
          <w:i w:val="0"/>
          <w:sz w:val="24"/>
        </w:rPr>
        <w:t>Limitation 1 — Data availability. No publicly available Saudi SME POS transaction dataset exists at the time of writing. Validation is conducted on synthetic data calibrated to Saudi market conditions and on international public datasets. Results should be interpreted in the context of this geographic and temporal displacement, and production deployment should include a validation phase against real Saudi POS data once available through banking partnerships.</w:t>
      </w:r>
    </w:p>
    <w:p>
      <w:pPr>
        <w:spacing w:line="360" w:lineRule="auto" w:before="0" w:after="160"/>
        <w:jc w:val="both"/>
      </w:pPr>
      <w:r>
        <w:rPr>
          <w:rFonts w:ascii="Times New Roman" w:hAnsi="Times New Roman"/>
          <w:b w:val="0"/>
          <w:i w:val="0"/>
          <w:sz w:val="24"/>
        </w:rPr>
        <w:t>Limitation 2 — Timestamp requirement. The behavioral classifier requires hour-level timestamps. Daily-aggregated transaction data produces incorrect classifications due to the absence of temporal feature signals. Production deployment requires POS systems to transmit full datetime stamps, not date-only aggregations. This is a data ingestion requirement, not a modeling limitation.</w:t>
      </w:r>
    </w:p>
    <w:p>
      <w:pPr>
        <w:spacing w:line="360" w:lineRule="auto" w:before="0" w:after="160"/>
        <w:jc w:val="both"/>
      </w:pPr>
      <w:r>
        <w:rPr>
          <w:rFonts w:ascii="Times New Roman" w:hAnsi="Times New Roman"/>
          <w:b w:val="0"/>
          <w:i w:val="0"/>
          <w:sz w:val="24"/>
        </w:rPr>
        <w:t>Limitation 3 — Commission-based businesses. The expense estimator uses ticket size as a COGS proxy, which fails for commission-based brokerage businesses where high ticket values do not imply high product costs. Real estate, insurance, and financial services brokerages are affected. The production fix is an explicit is_commission_based flag in the intake form or auto-detection from payment method distribution patterns.</w:t>
      </w:r>
    </w:p>
    <w:p>
      <w:pPr>
        <w:spacing w:line="360" w:lineRule="auto" w:before="0" w:after="160"/>
        <w:jc w:val="both"/>
      </w:pPr>
      <w:r>
        <w:rPr>
          <w:rFonts w:ascii="Times New Roman" w:hAnsi="Times New Roman"/>
          <w:b w:val="0"/>
          <w:i w:val="0"/>
          <w:sz w:val="24"/>
        </w:rPr>
        <w:t>Limitation 4 — Forecast horizon. Prophet achieves optimal accuracy with multiple seasonal cycles of historical data. The 90-day training window in the current prototype provides three complete monthly cycles of weekly seasonality data, which is sufficient for weekly pattern detection but insufficient for yearly seasonality modeling. MAPE metrics for sparse businesses (real estate, automotive) are inflated by zero-revenue days in the test set, a known limitation of MAPE on intermittent time series. SMAPE or MAE are more appropriate accuracy metrics for these business types.</w:t>
      </w:r>
    </w:p>
    <w:p>
      <w:pPr>
        <w:spacing w:line="360" w:lineRule="auto" w:before="0" w:after="160"/>
        <w:jc w:val="both"/>
      </w:pPr>
      <w:r>
        <w:rPr>
          <w:rFonts w:ascii="Times New Roman" w:hAnsi="Times New Roman"/>
          <w:b w:val="0"/>
          <w:i w:val="0"/>
          <w:sz w:val="24"/>
        </w:rPr>
        <w:t>Limitation 5 — SAMA compliance. Automated credit decisioning in Saudi Arabia requires SAMA regulatory approval. DataCore is designed as a decision support system: it provides the assessment and recommendation, with final lending authority retained by a qualified human loan officer. The DSCR and DBR calculations are presented as inputs to the human decision process, not as autonomous approval decisions.</w:t>
      </w:r>
    </w:p>
    <w:p>
      <w:r>
        <w:br w:type="page"/>
      </w:r>
    </w:p>
    <w:p>
      <w:pPr>
        <w:spacing w:before="360" w:after="120"/>
      </w:pPr>
      <w:r>
        <w:rPr>
          <w:rFonts w:ascii="Times New Roman" w:hAnsi="Times New Roman"/>
          <w:b/>
          <w:sz w:val="28"/>
        </w:rPr>
        <w:t>6.  Discussion</w:t>
      </w:r>
    </w:p>
    <w:p>
      <w:pPr>
        <w:spacing w:before="240" w:after="80"/>
      </w:pPr>
      <w:r>
        <w:rPr>
          <w:rFonts w:ascii="Times New Roman" w:hAnsi="Times New Roman"/>
          <w:b/>
          <w:sz w:val="24"/>
        </w:rPr>
        <w:t>6.1  Interpretation of Classification Results</w:t>
      </w:r>
    </w:p>
    <w:p>
      <w:pPr>
        <w:spacing w:line="360" w:lineRule="auto" w:before="0" w:after="160"/>
        <w:jc w:val="both"/>
      </w:pPr>
      <w:r>
        <w:rPr>
          <w:rFonts w:ascii="Times New Roman" w:hAnsi="Times New Roman"/>
          <w:b w:val="0"/>
          <w:i w:val="0"/>
          <w:sz w:val="24"/>
        </w:rPr>
        <w:t>The classifier's 100% accuracy on datasets with complete hour-level timestamps confirms the core hypothesis: transaction behavioral patterns are sufficiently distinctive across business archetypes to enable unsupervised classification without labeled training data. The three misclassifications on daily-aggregated datasets are not model failures — they define a precise data quality requirement for production deployment. Any POS system transmitting full datetime stamps, the standard for all modern Saudi POS providers including Foodics, will produce data suitable for classification. The improvement in confidence from the 30-day to 90-day training window is particularly significant: cafe confidence improved from 88% to 100% and laundromat from 74% to 97%, demonstrating that behavioral fingerprints become more stable and distinctive as transaction history accumulates.</w:t>
      </w:r>
    </w:p>
    <w:p>
      <w:pPr>
        <w:spacing w:before="240" w:after="80"/>
      </w:pPr>
      <w:r>
        <w:rPr>
          <w:rFonts w:ascii="Times New Roman" w:hAnsi="Times New Roman"/>
          <w:b/>
          <w:sz w:val="24"/>
        </w:rPr>
        <w:t>6.2  The Behavioral Archetype Insight</w:t>
      </w:r>
    </w:p>
    <w:p>
      <w:pPr>
        <w:spacing w:line="360" w:lineRule="auto" w:before="0" w:after="160"/>
        <w:jc w:val="both"/>
      </w:pPr>
      <w:r>
        <w:rPr>
          <w:rFonts w:ascii="Times New Roman" w:hAnsi="Times New Roman"/>
          <w:b w:val="0"/>
          <w:i w:val="0"/>
          <w:sz w:val="24"/>
        </w:rPr>
        <w:t>The central contribution of this work is the demonstration that business financial behavior clusters naturally into stable archetypes that transcend industry labels. A cafe in Riyadh, a coffee shop in London, and a juice bar in Dubai share the same behavioral DNA: high frequency, low ticket, consumer-facing, peaked temporal patterns. The classifier places all three in the same cluster without being told what any of them sells. This has profound implications for lending. A bank does not need to know that a business is a cafe — it needs to know that it is a high-frequency, low-ticket, stable-revenue business. The appropriate credit limit, fraud sensitivity, and expense ratio for that behavioral profile are identical regardless of what the business actually sells. DataCore operationalizes this insight at scale, enabling consistent and fair credit assessment across any business type including categories that did not exist when the system was trained.</w:t>
      </w:r>
    </w:p>
    <w:p>
      <w:pPr>
        <w:spacing w:before="240" w:after="80"/>
      </w:pPr>
      <w:r>
        <w:rPr>
          <w:rFonts w:ascii="Times New Roman" w:hAnsi="Times New Roman"/>
          <w:b/>
          <w:sz w:val="24"/>
        </w:rPr>
        <w:t>6.3  The Cold Start Solution</w:t>
      </w:r>
    </w:p>
    <w:p>
      <w:pPr>
        <w:spacing w:line="360" w:lineRule="auto" w:before="0" w:after="160"/>
        <w:jc w:val="both"/>
      </w:pPr>
      <w:r>
        <w:rPr>
          <w:rFonts w:ascii="Times New Roman" w:hAnsi="Times New Roman"/>
          <w:b w:val="0"/>
          <w:i w:val="0"/>
          <w:sz w:val="24"/>
        </w:rPr>
        <w:t>The two-track confidence-weighted blend formula represents a principled approach to the cold start problem. Rather than refusing assessment for new businesses or applying arbitrary fixed parameters, the system explicitly models its own uncertainty. At day zero, the system acknowledges that it is working from declared parameters with 65% maximum confidence. At day 30, it has observed enough real behavior to reach 95%+ confidence based on actual transaction data. The linear blend between these states ensures a smooth, continuous transition. This approach is consistent with Bayesian updating — the intake form provides a prior distribution over behavioral archetypes, and real transaction data provides evidence that updates that prior toward the posterior. The blend formula is a simplified but practically effective implementation of this principle.</w:t>
      </w:r>
    </w:p>
    <w:p>
      <w:pPr>
        <w:spacing w:before="240" w:after="80"/>
      </w:pPr>
      <w:r>
        <w:rPr>
          <w:rFonts w:ascii="Times New Roman" w:hAnsi="Times New Roman"/>
          <w:b/>
          <w:sz w:val="24"/>
        </w:rPr>
        <w:t>6.4  Expense Ratio Calibration</w:t>
      </w:r>
    </w:p>
    <w:p>
      <w:pPr>
        <w:spacing w:line="360" w:lineRule="auto" w:before="0" w:after="160"/>
        <w:jc w:val="both"/>
      </w:pPr>
      <w:r>
        <w:rPr>
          <w:rFonts w:ascii="Times New Roman" w:hAnsi="Times New Roman"/>
          <w:b w:val="0"/>
          <w:i w:val="0"/>
          <w:sz w:val="24"/>
        </w:rPr>
        <w:t>The achievement of five out of six expense ratios within published industry benchmark ranges, using only behavioral signals with no explicit financial statement data, demonstrates that financial cost structure is encodable in transaction behavior. The intuition is clear: a business that sells physical products in high volume necessarily has high cost of goods sold. A business that sells services in low volume necessarily has low COGS and higher labor concentration. These relationships are universal across business types and cultures. The real estate edge case is the only structural exception: commission-based brokerage earns high-value fees without holding inventory, making its cost structure indistinguishable from asset sale businesses using ticket size alone. The production solution — adding an explicit is_commission_based signal to the intake form — resolves this without compromising the label-free nature of the overall system.</w:t>
      </w:r>
    </w:p>
    <w:p>
      <w:pPr>
        <w:spacing w:before="240" w:after="80"/>
      </w:pPr>
      <w:r>
        <w:rPr>
          <w:rFonts w:ascii="Times New Roman" w:hAnsi="Times New Roman"/>
          <w:b/>
          <w:sz w:val="24"/>
        </w:rPr>
        <w:t>6.5  Forecasting Limitations and Practical Implications</w:t>
      </w:r>
    </w:p>
    <w:p>
      <w:pPr>
        <w:spacing w:line="360" w:lineRule="auto" w:before="0" w:after="160"/>
        <w:jc w:val="both"/>
      </w:pPr>
      <w:r>
        <w:rPr>
          <w:rFonts w:ascii="Times New Roman" w:hAnsi="Times New Roman"/>
          <w:b w:val="0"/>
          <w:i w:val="0"/>
          <w:sz w:val="24"/>
        </w:rPr>
        <w:t>The Prophet validation results reveal an important boundary condition. The 68.2% MAPE on the UCI holiday validation set should not be interpreted as poor model performance — it reflects the fundamental impossibility of predicting a 4x revenue surge from one year of training data that contained only one instance of that surge. In production deployment, this limitation is mitigated by two factors. First, the continuous rolling window grows as the bank-business relationship matures: a business connected for 18 months provides Prophet with two complete seasonal cycles, enabling accurate yearly seasonality modeling. Second, DataCore's dynamic credit limit adjustment uses forecast trend direction rather than absolute values. A business growing at 10% per month receives a higher limit regardless of whether the forecast predicts exactly SAR 45,000 or SAR 50,000 for the peak day. The directional signal is robust even when point predictions are imprecise.</w:t>
      </w:r>
    </w:p>
    <w:p>
      <w:r>
        <w:br w:type="page"/>
      </w:r>
    </w:p>
    <w:p>
      <w:pPr>
        <w:spacing w:before="360" w:after="120"/>
      </w:pPr>
      <w:r>
        <w:rPr>
          <w:rFonts w:ascii="Times New Roman" w:hAnsi="Times New Roman"/>
          <w:b/>
          <w:sz w:val="28"/>
        </w:rPr>
        <w:t>7.  Conclusion and Future Work</w:t>
      </w:r>
    </w:p>
    <w:p>
      <w:pPr>
        <w:spacing w:before="240" w:after="80"/>
      </w:pPr>
      <w:r>
        <w:rPr>
          <w:rFonts w:ascii="Times New Roman" w:hAnsi="Times New Roman"/>
          <w:b/>
          <w:sz w:val="24"/>
        </w:rPr>
        <w:t>7.1  Conclusion</w:t>
      </w:r>
    </w:p>
    <w:p>
      <w:pPr>
        <w:spacing w:line="360" w:lineRule="auto" w:before="0" w:after="160"/>
        <w:jc w:val="both"/>
      </w:pPr>
      <w:r>
        <w:rPr>
          <w:rFonts w:ascii="Times New Roman" w:hAnsi="Times New Roman"/>
          <w:b w:val="0"/>
          <w:i w:val="0"/>
          <w:sz w:val="24"/>
        </w:rPr>
        <w:t>This paper presented DataCore, an AI-driven SME lending assessment engine that replaces static document-based loan applications with continuous analysis of live point-of-sale transaction streams. Four interdependent machine learning models — an unsupervised HDBSCAN behavioral classifier, a behavioral expense estimator, a per-business Isolation Forest fraud detector, and a Prophet revenue forecaster — form a complete credit assessment pipeline operating without labeled training data and adapting automatically to any business type. The key contribution is the demonstration that transaction behavioral patterns cluster naturally into stable financial archetypes transcending industry categories, enabling context-aware credit assessment without requiring explicit business categorization. Validation against six real-world public datasets confirms 100% classification accuracy on transaction-level data with complete timestamps. The two-track classification system solves the cold start problem through a confidence-weighted blend formula transitioning from intake form parameters to observed behavioral features as real data accumulates, enabling lending assessment from day zero for new businesses with no financial history.</w:t>
      </w:r>
    </w:p>
    <w:p>
      <w:pPr>
        <w:spacing w:before="240" w:after="80"/>
      </w:pPr>
      <w:r>
        <w:rPr>
          <w:rFonts w:ascii="Times New Roman" w:hAnsi="Times New Roman"/>
          <w:b/>
          <w:sz w:val="24"/>
        </w:rPr>
        <w:t>7.2  Future Work</w:t>
      </w:r>
    </w:p>
    <w:p>
      <w:pPr>
        <w:spacing w:line="360" w:lineRule="auto" w:before="0" w:after="160"/>
        <w:jc w:val="both"/>
      </w:pPr>
      <w:r>
        <w:rPr>
          <w:rFonts w:ascii="Times New Roman" w:hAnsi="Times New Roman"/>
          <w:b w:val="0"/>
          <w:i w:val="0"/>
          <w:sz w:val="24"/>
        </w:rPr>
        <w:t>Several directions extend this work toward production deployment. First, extended temporal validation: production deployment should target a minimum 12-month transaction window for robust yearly seasonality modeling and more stable HDBSCAN cluster assignments. Second, SAMA regulatory compliance: automated credit decisioning in Saudi Arabia requires SAMA approval under the Open Banking Framework. DataCore is designed as a decision support system with final lending authority retained by qualified bank officers. Third, real Saudi SME data validation: a partnership with Alinma Bank or a Saudi POS provider such as Foodics would enable validation on geographically and culturally appropriate data, substantially strengthening applicability claims. Fourth, a default prediction layer: once sufficient loan repayment history is accumulated from production deployment, a supervised default probability model can be trained on the behavioral archetypes identified by the classifier, converting the behavioral assessment into an explicit default probability estimate. Fifth, patent protection: the two-track blend formula and the behavioral archetype classification methodology are novel technical contributions that warrant filing with the Saudi Intellectual Property Authority (SAIP) to establish priority date.</w:t>
      </w:r>
    </w:p>
    <w:p>
      <w:r>
        <w:br w:type="page"/>
      </w:r>
    </w:p>
    <w:p>
      <w:pPr>
        <w:spacing w:before="360" w:after="120"/>
      </w:pPr>
      <w:r>
        <w:rPr>
          <w:rFonts w:ascii="Times New Roman" w:hAnsi="Times New Roman"/>
          <w:b/>
          <w:sz w:val="28"/>
        </w:rPr>
        <w:t>8.  References</w:t>
      </w:r>
    </w:p>
    <w:p>
      <w:pPr>
        <w:spacing w:line="360" w:lineRule="auto" w:before="0" w:after="120"/>
        <w:ind w:left="709" w:hanging="709"/>
        <w:jc w:val="both"/>
      </w:pPr>
      <w:r>
        <w:rPr>
          <w:rFonts w:ascii="Times New Roman" w:hAnsi="Times New Roman"/>
          <w:b/>
          <w:sz w:val="24"/>
        </w:rPr>
        <w:t xml:space="preserve">Chen, D. (2012). </w:t>
      </w:r>
      <w:r>
        <w:rPr>
          <w:rFonts w:ascii="Times New Roman" w:hAnsi="Times New Roman"/>
          <w:sz w:val="24"/>
        </w:rPr>
        <w:t>Online Retail II [Dataset]. UCI Machine Learning Repository. https://doi.org/10.24432/C5CG6D</w:t>
      </w:r>
    </w:p>
    <w:p>
      <w:pPr>
        <w:spacing w:line="360" w:lineRule="auto" w:before="0" w:after="120"/>
        <w:ind w:left="709" w:hanging="709"/>
        <w:jc w:val="both"/>
      </w:pPr>
      <w:r>
        <w:rPr>
          <w:rFonts w:ascii="Times New Roman" w:hAnsi="Times New Roman"/>
          <w:b/>
          <w:sz w:val="24"/>
        </w:rPr>
        <w:t xml:space="preserve">Taylor, S. J., &amp; Letham, B. (2018). </w:t>
      </w:r>
      <w:r>
        <w:rPr>
          <w:rFonts w:ascii="Times New Roman" w:hAnsi="Times New Roman"/>
          <w:sz w:val="24"/>
        </w:rPr>
        <w:t>Forecasting at scale. The American Statistician, 72(1), 37-45. https://doi.org/10.1080/00031305.2017.1380080</w:t>
      </w:r>
    </w:p>
    <w:p>
      <w:pPr>
        <w:spacing w:line="360" w:lineRule="auto" w:before="0" w:after="120"/>
        <w:ind w:left="709" w:hanging="709"/>
        <w:jc w:val="both"/>
      </w:pPr>
      <w:r>
        <w:rPr>
          <w:rFonts w:ascii="Times New Roman" w:hAnsi="Times New Roman"/>
          <w:b/>
          <w:sz w:val="24"/>
        </w:rPr>
        <w:t xml:space="preserve">Liu, F. T., Ting, K. M., &amp; Zhou, Z. H. (2008). </w:t>
      </w:r>
      <w:r>
        <w:rPr>
          <w:rFonts w:ascii="Times New Roman" w:hAnsi="Times New Roman"/>
          <w:sz w:val="24"/>
        </w:rPr>
        <w:t>Isolation forest. In 2008 Eighth IEEE International Conference on Data Mining (pp. 413-422). IEEE.</w:t>
      </w:r>
    </w:p>
    <w:p>
      <w:pPr>
        <w:spacing w:line="360" w:lineRule="auto" w:before="0" w:after="120"/>
        <w:ind w:left="709" w:hanging="709"/>
        <w:jc w:val="both"/>
      </w:pPr>
      <w:r>
        <w:rPr>
          <w:rFonts w:ascii="Times New Roman" w:hAnsi="Times New Roman"/>
          <w:b/>
          <w:sz w:val="24"/>
        </w:rPr>
        <w:t xml:space="preserve">Campello, R. J., Moulavi, D., &amp; Sander, J. (2013). </w:t>
      </w:r>
      <w:r>
        <w:rPr>
          <w:rFonts w:ascii="Times New Roman" w:hAnsi="Times New Roman"/>
          <w:sz w:val="24"/>
        </w:rPr>
        <w:t>Density-based clustering based on hierarchical density estimates. In Pacific-Asia Conference on Knowledge Discovery and Data Mining (pp. 160-172). Springer.</w:t>
      </w:r>
    </w:p>
    <w:p>
      <w:pPr>
        <w:spacing w:line="360" w:lineRule="auto" w:before="0" w:after="120"/>
        <w:ind w:left="709" w:hanging="709"/>
        <w:jc w:val="both"/>
      </w:pPr>
      <w:r>
        <w:rPr>
          <w:rFonts w:ascii="Times New Roman" w:hAnsi="Times New Roman"/>
          <w:b/>
          <w:sz w:val="24"/>
        </w:rPr>
        <w:t xml:space="preserve">Saudi Central Bank (SAMA). (2024). </w:t>
      </w:r>
      <w:r>
        <w:rPr>
          <w:rFonts w:ascii="Times New Roman" w:hAnsi="Times New Roman"/>
          <w:sz w:val="24"/>
        </w:rPr>
        <w:t>Financial Sector Development Program Annual Report 2024. https://www.sama.gov.sa</w:t>
      </w:r>
    </w:p>
    <w:p>
      <w:pPr>
        <w:spacing w:line="360" w:lineRule="auto" w:before="0" w:after="120"/>
        <w:ind w:left="709" w:hanging="709"/>
        <w:jc w:val="both"/>
      </w:pPr>
      <w:r>
        <w:rPr>
          <w:rFonts w:ascii="Times New Roman" w:hAnsi="Times New Roman"/>
          <w:b/>
          <w:sz w:val="24"/>
        </w:rPr>
        <w:t xml:space="preserve">National Restaurant Association. (2023). </w:t>
      </w:r>
      <w:r>
        <w:rPr>
          <w:rFonts w:ascii="Times New Roman" w:hAnsi="Times New Roman"/>
          <w:sz w:val="24"/>
        </w:rPr>
        <w:t>Restaurant Industry Outlook 2023. Washington, DC: NRA.</w:t>
      </w:r>
    </w:p>
    <w:p>
      <w:pPr>
        <w:spacing w:line="360" w:lineRule="auto" w:before="0" w:after="120"/>
        <w:ind w:left="709" w:hanging="709"/>
        <w:jc w:val="both"/>
      </w:pPr>
      <w:r>
        <w:rPr>
          <w:rFonts w:ascii="Times New Roman" w:hAnsi="Times New Roman"/>
          <w:b/>
          <w:sz w:val="24"/>
        </w:rPr>
        <w:t xml:space="preserve">National Automobile Dealers Association (NADA). (2023). </w:t>
      </w:r>
      <w:r>
        <w:rPr>
          <w:rFonts w:ascii="Times New Roman" w:hAnsi="Times New Roman"/>
          <w:sz w:val="24"/>
        </w:rPr>
        <w:t>Annual Dealership Financial Profile. McLean, VA: NADA.</w:t>
      </w:r>
    </w:p>
    <w:p>
      <w:pPr>
        <w:spacing w:line="360" w:lineRule="auto" w:before="0" w:after="120"/>
        <w:ind w:left="709" w:hanging="709"/>
        <w:jc w:val="both"/>
      </w:pPr>
      <w:r>
        <w:rPr>
          <w:rFonts w:ascii="Times New Roman" w:hAnsi="Times New Roman"/>
          <w:b/>
          <w:sz w:val="24"/>
        </w:rPr>
        <w:t xml:space="preserve">National Association of Realtors (NAR). (2023). </w:t>
      </w:r>
      <w:r>
        <w:rPr>
          <w:rFonts w:ascii="Times New Roman" w:hAnsi="Times New Roman"/>
          <w:sz w:val="24"/>
        </w:rPr>
        <w:t>Real Estate Industry Statistics. Chicago, IL: NAR.</w:t>
      </w:r>
    </w:p>
    <w:p>
      <w:pPr>
        <w:spacing w:line="360" w:lineRule="auto" w:before="0" w:after="120"/>
        <w:ind w:left="709" w:hanging="709"/>
        <w:jc w:val="both"/>
      </w:pPr>
      <w:r>
        <w:rPr>
          <w:rFonts w:ascii="Times New Roman" w:hAnsi="Times New Roman"/>
          <w:b/>
          <w:sz w:val="24"/>
        </w:rPr>
        <w:t xml:space="preserve">Deloitte. (2023). </w:t>
      </w:r>
      <w:r>
        <w:rPr>
          <w:rFonts w:ascii="Times New Roman" w:hAnsi="Times New Roman"/>
          <w:sz w:val="24"/>
        </w:rPr>
        <w:t>Global Powers of Retailing 2023. London: Deloitte Touche Tohmatsu.</w:t>
      </w:r>
    </w:p>
    <w:p>
      <w:pPr>
        <w:spacing w:line="360" w:lineRule="auto" w:before="0" w:after="120"/>
        <w:ind w:left="709" w:hanging="709"/>
        <w:jc w:val="both"/>
      </w:pPr>
      <w:r>
        <w:rPr>
          <w:rFonts w:ascii="Times New Roman" w:hAnsi="Times New Roman"/>
          <w:b/>
          <w:sz w:val="24"/>
        </w:rPr>
        <w:t xml:space="preserve">General Authority for Statistics Saudi Arabia (GASTAT). (2024). </w:t>
      </w:r>
      <w:r>
        <w:rPr>
          <w:rFonts w:ascii="Times New Roman" w:hAnsi="Times New Roman"/>
          <w:sz w:val="24"/>
        </w:rPr>
        <w:t>Economic Statistics. https://www.stats.gov.sa</w:t>
      </w:r>
    </w:p>
    <w:p>
      <w:pPr>
        <w:spacing w:line="360" w:lineRule="auto" w:before="0" w:after="120"/>
        <w:ind w:left="709" w:hanging="709"/>
        <w:jc w:val="both"/>
      </w:pPr>
      <w:r>
        <w:rPr>
          <w:rFonts w:ascii="Times New Roman" w:hAnsi="Times New Roman"/>
          <w:b/>
          <w:sz w:val="24"/>
        </w:rPr>
        <w:t xml:space="preserve">Mestiri, S. (2024). </w:t>
      </w:r>
      <w:r>
        <w:rPr>
          <w:rFonts w:ascii="Times New Roman" w:hAnsi="Times New Roman"/>
          <w:sz w:val="24"/>
        </w:rPr>
        <w:t>Credit scoring using machine learning and deep learning-based models. Data Science in Finance and Economics, 4(2), 236-248. https://doi.org/10.3934/DSFE.2024009</w:t>
      </w:r>
    </w:p>
    <w:p>
      <w:pPr>
        <w:spacing w:line="360" w:lineRule="auto" w:before="0" w:after="120"/>
        <w:ind w:left="709" w:hanging="709"/>
        <w:jc w:val="both"/>
      </w:pPr>
      <w:r>
        <w:rPr>
          <w:rFonts w:ascii="Times New Roman" w:hAnsi="Times New Roman"/>
          <w:b/>
          <w:sz w:val="24"/>
        </w:rPr>
        <w:t xml:space="preserve">Zhang, W., Yan, S., Li, J., Tian, X., &amp; Yoshida, T. (2022). </w:t>
      </w:r>
      <w:r>
        <w:rPr>
          <w:rFonts w:ascii="Times New Roman" w:hAnsi="Times New Roman"/>
          <w:sz w:val="24"/>
        </w:rPr>
        <w:t>Credit risk prediction of SMEs in supply chain finance by fusing demographic and behavioral data. Transportation Research Part E, 158, 102611.</w:t>
      </w:r>
    </w:p>
    <w:p>
      <w:pPr>
        <w:spacing w:line="360" w:lineRule="auto" w:before="0" w:after="120"/>
        <w:ind w:left="709" w:hanging="709"/>
        <w:jc w:val="both"/>
      </w:pPr>
      <w:r>
        <w:rPr>
          <w:rFonts w:ascii="Times New Roman" w:hAnsi="Times New Roman"/>
          <w:b/>
          <w:sz w:val="24"/>
        </w:rPr>
        <w:t xml:space="preserve">Chioda, L., Gertler, P., Higgins, S., &amp; Medina, M. (2024). </w:t>
      </w:r>
      <w:r>
        <w:rPr>
          <w:rFonts w:ascii="Times New Roman" w:hAnsi="Times New Roman"/>
          <w:sz w:val="24"/>
        </w:rPr>
        <w:t>FinTech lending to borrowers with no credit history. Working Paper.</w:t>
      </w:r>
    </w:p>
    <w:p>
      <w:pPr>
        <w:spacing w:line="360" w:lineRule="auto" w:before="0" w:after="120"/>
        <w:ind w:left="709" w:hanging="709"/>
        <w:jc w:val="both"/>
      </w:pPr>
      <w:r>
        <w:rPr>
          <w:rFonts w:ascii="Times New Roman" w:hAnsi="Times New Roman"/>
          <w:b/>
          <w:sz w:val="24"/>
        </w:rPr>
        <w:t xml:space="preserve">Husmann, S., Shivarova, A., &amp; Steinert, R. (2020). </w:t>
      </w:r>
      <w:r>
        <w:rPr>
          <w:rFonts w:ascii="Times New Roman" w:hAnsi="Times New Roman"/>
          <w:sz w:val="24"/>
        </w:rPr>
        <w:t>Company classification using machine learning. arXiv:2004.01496.</w:t>
      </w:r>
    </w:p>
    <w:p>
      <w:pPr>
        <w:spacing w:line="360" w:lineRule="auto" w:before="0" w:after="120"/>
        <w:ind w:left="709" w:hanging="709"/>
        <w:jc w:val="both"/>
      </w:pPr>
      <w:r>
        <w:rPr>
          <w:rFonts w:ascii="Times New Roman" w:hAnsi="Times New Roman"/>
          <w:b/>
          <w:sz w:val="24"/>
        </w:rPr>
        <w:t xml:space="preserve">Hussain, A. et al. (2025). </w:t>
      </w:r>
      <w:r>
        <w:rPr>
          <w:rFonts w:ascii="Times New Roman" w:hAnsi="Times New Roman"/>
          <w:sz w:val="24"/>
        </w:rPr>
        <w:t>Categorising SME bank transactions with machine learning and synthetic data generation. arXiv:2508.05425.</w:t>
      </w:r>
    </w:p>
    <w:p>
      <w:pPr>
        <w:spacing w:line="360" w:lineRule="auto" w:before="0" w:after="120"/>
        <w:ind w:left="709" w:hanging="709"/>
        <w:jc w:val="both"/>
      </w:pPr>
      <w:r>
        <w:rPr>
          <w:rFonts w:ascii="Times New Roman" w:hAnsi="Times New Roman"/>
          <w:b/>
          <w:sz w:val="24"/>
        </w:rPr>
        <w:t xml:space="preserve">CFIT SME Finance Taskforce. (2024). </w:t>
      </w:r>
      <w:r>
        <w:rPr>
          <w:rFonts w:ascii="Times New Roman" w:hAnsi="Times New Roman"/>
          <w:sz w:val="24"/>
        </w:rPr>
        <w:t>Smart data: improving SME lending to drive economic growth. Centre for Finance, Innovation and Technology.</w:t>
      </w:r>
    </w:p>
    <w:p>
      <w:pPr>
        <w:spacing w:line="360" w:lineRule="auto" w:before="0" w:after="120"/>
        <w:ind w:left="709" w:hanging="709"/>
        <w:jc w:val="both"/>
      </w:pPr>
      <w:r>
        <w:rPr>
          <w:rFonts w:ascii="Times New Roman" w:hAnsi="Times New Roman"/>
          <w:b/>
          <w:sz w:val="24"/>
        </w:rPr>
        <w:t xml:space="preserve">Fahim, A., Salem, A., Torkey, F., &amp; Ramadan, M. (2016). </w:t>
      </w:r>
      <w:r>
        <w:rPr>
          <w:rFonts w:ascii="Times New Roman" w:hAnsi="Times New Roman"/>
          <w:sz w:val="24"/>
        </w:rPr>
        <w:t>Clustering approaches for financial data analysis: A survey. arXiv:1609.08520.</w:t>
      </w:r>
    </w:p>
    <w:p>
      <w:pPr>
        <w:spacing w:line="360" w:lineRule="auto" w:before="0" w:after="120"/>
        <w:ind w:left="709" w:hanging="709"/>
        <w:jc w:val="both"/>
      </w:pPr>
      <w:r>
        <w:rPr>
          <w:rFonts w:ascii="Times New Roman" w:hAnsi="Times New Roman"/>
          <w:b/>
          <w:sz w:val="24"/>
        </w:rPr>
        <w:t xml:space="preserve">Federal Reserve Banks. (2024). </w:t>
      </w:r>
      <w:r>
        <w:rPr>
          <w:rFonts w:ascii="Times New Roman" w:hAnsi="Times New Roman"/>
          <w:sz w:val="24"/>
        </w:rPr>
        <w:t>Small Business Credit Survey. Federal Reserve System.</w:t>
      </w:r>
    </w:p>
    <w:p>
      <w:pPr>
        <w:spacing w:line="360" w:lineRule="auto" w:before="0" w:after="120"/>
        <w:ind w:left="709" w:hanging="709"/>
        <w:jc w:val="both"/>
      </w:pPr>
      <w:r>
        <w:rPr>
          <w:rFonts w:ascii="Times New Roman" w:hAnsi="Times New Roman"/>
          <w:b/>
          <w:sz w:val="24"/>
        </w:rPr>
        <w:t xml:space="preserve">Altman, E. I., Balzano, M., Giannozzi, A., &amp; Srhoj, S. (2023). </w:t>
      </w:r>
      <w:r>
        <w:rPr>
          <w:rFonts w:ascii="Times New Roman" w:hAnsi="Times New Roman"/>
          <w:sz w:val="24"/>
        </w:rPr>
        <w:t>Revisiting SME default predictors: the omega score. Journal of Small Business Management, 61, 2383-2417.</w:t>
      </w:r>
    </w:p>
    <w:p>
      <w:r>
        <w:br w:type="page"/>
      </w:r>
    </w:p>
    <w:p>
      <w:pPr>
        <w:spacing w:before="360" w:after="120"/>
      </w:pPr>
      <w:r>
        <w:rPr>
          <w:rFonts w:ascii="Times New Roman" w:hAnsi="Times New Roman"/>
          <w:b/>
          <w:sz w:val="28"/>
        </w:rPr>
        <w:t>Appendix — System Architecture</w:t>
      </w:r>
    </w:p>
    <w:p>
      <w:pPr>
        <w:spacing w:before="240" w:after="80"/>
      </w:pPr>
      <w:r>
        <w:rPr>
          <w:rFonts w:ascii="Times New Roman" w:hAnsi="Times New Roman"/>
          <w:b/>
          <w:sz w:val="24"/>
        </w:rPr>
        <w:t>A.1  Technical Stack</w:t>
      </w:r>
    </w:p>
    <w:p>
      <w:pPr>
        <w:spacing w:before="160" w:after="40"/>
        <w:jc w:val="left"/>
      </w:pPr>
      <w:r>
        <w:rPr>
          <w:rFonts w:ascii="Times New Roman" w:hAnsi="Times New Roman"/>
          <w:b/>
          <w:i/>
          <w:sz w:val="22"/>
        </w:rPr>
        <w:t>Table A1: System Technical Stack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Component</w:t>
            </w:r>
          </w:p>
        </w:tc>
        <w:tc>
          <w:tcPr>
            <w:tcW w:type="dxa" w:w="3135"/>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Technology</w:t>
            </w:r>
          </w:p>
        </w:tc>
        <w:tc>
          <w:tcPr>
            <w:tcW w:type="dxa" w:w="3135"/>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Purpose</w:t>
            </w:r>
          </w:p>
        </w:tc>
      </w:tr>
      <w:tr>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Business Classifier</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HDBSCAN + PCA</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Unsupervised behavioral clustering</w:t>
            </w:r>
          </w:p>
        </w:tc>
      </w:tr>
      <w:tr>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Expense Estimator</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Feature tag mapping</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Cost structure derivation</w:t>
            </w:r>
          </w:p>
        </w:tc>
      </w:tr>
      <w:tr>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Fraud Detector</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Isolation Forest</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Per-business anomaly detection</w:t>
            </w:r>
          </w:p>
        </w:tc>
      </w:tr>
      <w:tr>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Revenue Forecaster</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Facebook Prophet</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30-day revenue prediction</w:t>
            </w:r>
          </w:p>
        </w:tc>
      </w:tr>
      <w:tr>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API Layer</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Flask + Python</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Model serving and endpoint routing</w:t>
            </w:r>
          </w:p>
        </w:tc>
      </w:tr>
      <w:tr>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Frontend</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React + Tailwind</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Bilingual AR/EN dashboard</w:t>
            </w:r>
          </w:p>
        </w:tc>
      </w:tr>
      <w:tr>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Data Pipeline</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Pandas + NumPy</w:t>
            </w:r>
          </w:p>
        </w:tc>
        <w:tc>
          <w:tcPr>
            <w:tcW w:type="dxa" w:w="3135"/>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Feature engineering and processing</w:t>
            </w:r>
          </w:p>
        </w:tc>
      </w:tr>
    </w:tbl>
    <w:p/>
    <w:p>
      <w:pPr>
        <w:spacing w:before="240" w:after="80"/>
      </w:pPr>
      <w:r>
        <w:rPr>
          <w:rFonts w:ascii="Times New Roman" w:hAnsi="Times New Roman"/>
          <w:b/>
          <w:sz w:val="24"/>
        </w:rPr>
        <w:t>A.2  Dataset Summary</w:t>
      </w:r>
    </w:p>
    <w:p>
      <w:pPr>
        <w:spacing w:before="160" w:after="40"/>
        <w:jc w:val="left"/>
      </w:pPr>
      <w:r>
        <w:rPr>
          <w:rFonts w:ascii="Times New Roman" w:hAnsi="Times New Roman"/>
          <w:b/>
          <w:i/>
          <w:sz w:val="22"/>
        </w:rPr>
        <w:t>Table A2: Datasets Used in DataCore Validation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Dataset</w:t>
            </w:r>
          </w:p>
        </w:tc>
        <w:tc>
          <w:tcPr>
            <w:tcW w:type="dxa" w:w="188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Rows</w:t>
            </w:r>
          </w:p>
        </w:tc>
        <w:tc>
          <w:tcPr>
            <w:tcW w:type="dxa" w:w="188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Period</w:t>
            </w:r>
          </w:p>
        </w:tc>
        <w:tc>
          <w:tcPr>
            <w:tcW w:type="dxa" w:w="188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Source</w:t>
            </w:r>
          </w:p>
        </w:tc>
        <w:tc>
          <w:tcPr>
            <w:tcW w:type="dxa" w:w="1881"/>
            <w:shd w:val="clear" w:color="auto" w:fill="D9D9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Pr>
                <w:rFonts w:ascii="Times New Roman" w:hAnsi="Times New Roman"/>
                <w:b/>
                <w:sz w:val="22"/>
              </w:rPr>
              <w:t>Used For</w:t>
            </w:r>
          </w:p>
        </w:tc>
      </w:tr>
      <w:tr>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Synthetic SME (6 businesses)</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36,218</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90 days</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Generated</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Model training</w:t>
            </w:r>
          </w:p>
        </w:tc>
      </w:tr>
      <w:tr>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UCI Online Retail II</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50,000</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374 days</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Chen (2012)</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Classifier + Prophet validation</w:t>
            </w:r>
          </w:p>
        </w:tc>
      </w:tr>
      <w:tr>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Coffee Shop Sales</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149,116</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181 days</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Maven Analytics</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Classifier validation</w:t>
            </w:r>
          </w:p>
        </w:tc>
      </w:tr>
      <w:tr>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Supermarket Sales</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1,000</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89 days</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Kaggle (2019)</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Classifier validation</w:t>
            </w:r>
          </w:p>
        </w:tc>
      </w:tr>
      <w:tr>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Car Dealer Sales</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10,000</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366 days</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Kaggle (2023)</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Classifier validation</w:t>
            </w:r>
          </w:p>
        </w:tc>
      </w:tr>
      <w:tr>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Real Estate Transactions</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10,000</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5,020 days</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Kaggle (2024)</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Classifier validation</w:t>
            </w:r>
          </w:p>
        </w:tc>
      </w:tr>
      <w:tr>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General Retail</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50,000</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1,600 days</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Kaggle (2024)</w:t>
            </w:r>
          </w:p>
        </w:tc>
        <w:tc>
          <w:tcPr>
            <w:tcW w:type="dxa" w:w="1881"/>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left"/>
            </w:pPr>
            <w:r>
              <w:rPr>
                <w:rFonts w:ascii="Times New Roman" w:hAnsi="Times New Roman"/>
                <w:sz w:val="22"/>
              </w:rPr>
              <w:t>Classifier validation</w:t>
            </w:r>
          </w:p>
        </w:tc>
      </w:tr>
    </w:tbl>
    <w:p/>
    <w:p>
      <w:pPr>
        <w:spacing w:line="360" w:lineRule="auto" w:before="80" w:after="0"/>
        <w:jc w:val="both"/>
      </w:pPr>
      <w:r>
        <w:rPr>
          <w:rFonts w:ascii="Times New Roman" w:hAnsi="Times New Roman"/>
          <w:b w:val="0"/>
          <w:i/>
          <w:sz w:val="24"/>
        </w:rPr>
        <w:t>All Kaggle datasets are used under their respective CC0 or CC BY licenses. The UCI Online Retail dataset is used under CC BY 4.0. Synthetic datasets were generated programmatically using calibrated probability distributions matched to Saudi SME market characteristics and are available in the project repository.</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