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财务摘要（百万元）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2023E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营业收入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3,291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4,826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−</m:t>
                  </m:r>
                </m:e>
              </m:d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-1396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经营利润（EBIT）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925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−</m:t>
                  </m:r>
                </m:e>
              </m:d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-62%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净利润（归母）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619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−</m:t>
                  </m:r>
                </m:e>
              </m:d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-13796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每股净收益（元）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​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0.22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center"/>
            </w:pPr>
            <w:r>
              <w:t xml:space="preserve">每股股利（元）0.000.000.080.090.10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利润率和估值指标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2023E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经营利润率(%)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10.2%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10.6</m:t>
              </m:r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15.5%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净资产收益率(%)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4.8</m:t>
              </m:r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投入资本回报率(%)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2.6%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3.0</m:t>
              </m:r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EV/EBITDA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市盈率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一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股息率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0.4</m:t>
              </m:r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0.4%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2024-04-14T07:04:41Z</dcterms:created>
  <dcterms:modified xsi:type="dcterms:W3CDTF">2024-04-14T07:04:41Z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