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CRAFT Configuration and Validation</w:t>
      </w:r>
    </w:p>
    <w:p>
      <w:pPr>
        <w:pStyle w:val="Subtitle"/>
      </w:pPr>
      <w:r>
        <w:t>Certificate Request Agent for Tickets  |  Administrator reference</w:t>
      </w:r>
    </w:p>
    <w:p>
      <w:r>
        <w:t>Configure one of four Linux operating modes: privileged certificate enrollment through CES and AD CS, privileged credential linking through msDS-KeyCredentialLink, or unprivileged PKINIT with a certificate exported from Windows, or service-only constrained delegation with a broker keytab. This guide gives mode-specific configuration and acceptance checks. The linked installation guide contains complete Linux commands and the configuration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592"/>
        <w:gridCol w:w="2592"/>
        <w:gridCol w:w="2621"/>
      </w:tblGrid>
      <w:tr>
        <w:trPr>
          <w:tblHeader/>
          <w:cantSplit/>
        </w:trPr>
        <w:tc>
          <w:tcPr>
            <w:tcW w:type="dxa" w:w="2477"/>
            <w:vAlign w:val="center"/>
            <w:tcMar>
              <w:top w:w="100" w:type="dxa"/>
              <w:left w:w="100" w:type="dxa"/>
              <w:bottom w:w="100" w:type="dxa"/>
              <w:right w:w="100" w:type="dxa"/>
            </w:tcMar>
            <w:shd w:fill="18334A"/>
          </w:tcPr>
          <w:p>
            <w:pPr>
              <w:spacing w:after="40" w:before="40" w:line="252" w:lineRule="auto"/>
            </w:pPr>
            <w:r>
              <w:rPr>
                <w:b/>
                <w:color w:val="FFFFFF"/>
                <w:sz w:val="20"/>
              </w:rPr>
              <w:t>Requirement</w:t>
            </w:r>
          </w:p>
        </w:tc>
        <w:tc>
          <w:tcPr>
            <w:tcW w:type="dxa" w:w="2592"/>
            <w:vAlign w:val="center"/>
            <w:tcMar>
              <w:top w:w="100" w:type="dxa"/>
              <w:left w:w="100" w:type="dxa"/>
              <w:bottom w:w="100" w:type="dxa"/>
              <w:right w:w="100" w:type="dxa"/>
            </w:tcMar>
            <w:shd w:fill="18334A"/>
          </w:tcPr>
          <w:p>
            <w:pPr>
              <w:spacing w:after="40" w:before="40" w:line="252" w:lineRule="auto"/>
            </w:pPr>
            <w:r>
              <w:rPr>
                <w:b/>
                <w:color w:val="FFFFFF"/>
                <w:sz w:val="20"/>
              </w:rPr>
              <w:t>1  Enrollment</w:t>
            </w:r>
          </w:p>
        </w:tc>
        <w:tc>
          <w:tcPr>
            <w:tcW w:type="dxa" w:w="2592"/>
            <w:vAlign w:val="center"/>
            <w:tcMar>
              <w:top w:w="100" w:type="dxa"/>
              <w:left w:w="100" w:type="dxa"/>
              <w:bottom w:w="100" w:type="dxa"/>
              <w:right w:w="100" w:type="dxa"/>
            </w:tcMar>
            <w:shd w:fill="18334A"/>
          </w:tcPr>
          <w:p>
            <w:pPr>
              <w:spacing w:after="40" w:before="40" w:line="252" w:lineRule="auto"/>
            </w:pPr>
            <w:r>
              <w:rPr>
                <w:b/>
                <w:color w:val="FFFFFF"/>
                <w:sz w:val="20"/>
              </w:rPr>
              <w:t>2  Credential linking</w:t>
            </w:r>
          </w:p>
        </w:tc>
        <w:tc>
          <w:tcPr>
            <w:tcW w:type="dxa" w:w="2621"/>
            <w:vAlign w:val="center"/>
            <w:tcMar>
              <w:top w:w="100" w:type="dxa"/>
              <w:left w:w="100" w:type="dxa"/>
              <w:bottom w:w="100" w:type="dxa"/>
              <w:right w:w="100" w:type="dxa"/>
            </w:tcMar>
            <w:shd w:fill="18334A"/>
          </w:tcPr>
          <w:p>
            <w:pPr>
              <w:spacing w:after="40" w:before="40" w:line="252" w:lineRule="auto"/>
            </w:pPr>
            <w:r>
              <w:rPr>
                <w:b/>
                <w:color w:val="FFFFFF"/>
                <w:sz w:val="20"/>
              </w:rPr>
              <w:t>3  Windows export</w:t>
            </w:r>
          </w:p>
        </w:tc>
      </w:tr>
      <w:tr>
        <w:trPr>
          <w:cantSplit/>
        </w:trPr>
        <w:tc>
          <w:tcPr>
            <w:tcW w:type="dxa" w:w="2477"/>
            <w:vAlign w:val="center"/>
            <w:tcMar>
              <w:top w:w="100" w:type="dxa"/>
              <w:left w:w="100" w:type="dxa"/>
              <w:bottom w:w="100" w:type="dxa"/>
              <w:right w:w="100" w:type="dxa"/>
            </w:tcMar>
            <w:shd w:fill="F3F6FA"/>
          </w:tcPr>
          <w:p>
            <w:pPr>
              <w:spacing w:after="40" w:before="40" w:line="252" w:lineRule="auto"/>
            </w:pPr>
            <w:r>
              <w:rPr>
                <w:sz w:val="20"/>
              </w:rPr>
              <w:t>Linux acquisition</w:t>
            </w:r>
          </w:p>
        </w:tc>
        <w:tc>
          <w:tcPr>
            <w:tcW w:type="dxa" w:w="2592"/>
            <w:vAlign w:val="center"/>
            <w:tcMar>
              <w:top w:w="100" w:type="dxa"/>
              <w:left w:w="100" w:type="dxa"/>
              <w:bottom w:w="100" w:type="dxa"/>
              <w:right w:w="100" w:type="dxa"/>
            </w:tcMar>
            <w:shd w:fill="F3F6FA"/>
          </w:tcPr>
          <w:p>
            <w:pPr>
              <w:spacing w:after="40" w:before="40" w:line="252" w:lineRule="auto"/>
            </w:pPr>
            <w:r>
              <w:rPr>
                <w:sz w:val="20"/>
              </w:rPr>
              <w:t>Setuid launcher; craft service account</w:t>
            </w:r>
          </w:p>
        </w:tc>
        <w:tc>
          <w:tcPr>
            <w:tcW w:type="dxa" w:w="2592"/>
            <w:vAlign w:val="center"/>
            <w:tcMar>
              <w:top w:w="100" w:type="dxa"/>
              <w:left w:w="100" w:type="dxa"/>
              <w:bottom w:w="100" w:type="dxa"/>
              <w:right w:w="100" w:type="dxa"/>
            </w:tcMar>
            <w:shd w:fill="F3F6FA"/>
          </w:tcPr>
          <w:p>
            <w:pPr>
              <w:spacing w:after="40" w:before="40" w:line="252" w:lineRule="auto"/>
            </w:pPr>
            <w:r>
              <w:rPr>
                <w:sz w:val="20"/>
              </w:rPr>
              <w:t>Setuid launcher; craft service account</w:t>
            </w:r>
          </w:p>
        </w:tc>
        <w:tc>
          <w:tcPr>
            <w:tcW w:type="dxa" w:w="2621"/>
            <w:vAlign w:val="center"/>
            <w:tcMar>
              <w:top w:w="100" w:type="dxa"/>
              <w:left w:w="100" w:type="dxa"/>
              <w:bottom w:w="100" w:type="dxa"/>
              <w:right w:w="100" w:type="dxa"/>
            </w:tcMar>
            <w:shd w:fill="F3F6FA"/>
          </w:tcPr>
          <w:p>
            <w:pPr>
              <w:spacing w:after="40" w:before="40" w:line="252" w:lineRule="auto"/>
            </w:pPr>
            <w:r>
              <w:rPr>
                <w:sz w:val="20"/>
              </w:rPr>
              <w:t>Caller UID; mode-0755 executables</w:t>
            </w:r>
          </w:p>
        </w:tc>
      </w:tr>
      <w:tr>
        <w:trPr>
          <w:cantSplit/>
        </w:trPr>
        <w:tc>
          <w:tcPr>
            <w:tcW w:type="dxa" w:w="2477"/>
            <w:vAlign w:val="center"/>
            <w:tcMar>
              <w:top w:w="100" w:type="dxa"/>
              <w:left w:w="100" w:type="dxa"/>
              <w:bottom w:w="100" w:type="dxa"/>
              <w:right w:w="100" w:type="dxa"/>
            </w:tcMar>
            <w:shd w:fill="FFFFFF"/>
          </w:tcPr>
          <w:p>
            <w:pPr>
              <w:spacing w:after="40" w:before="40" w:line="252" w:lineRule="auto"/>
            </w:pPr>
            <w:r>
              <w:rPr>
                <w:sz w:val="20"/>
              </w:rPr>
              <w:t>User credential</w:t>
            </w:r>
          </w:p>
        </w:tc>
        <w:tc>
          <w:tcPr>
            <w:tcW w:type="dxa" w:w="2592"/>
            <w:vAlign w:val="center"/>
            <w:tcMar>
              <w:top w:w="100" w:type="dxa"/>
              <w:left w:w="100" w:type="dxa"/>
              <w:bottom w:w="100" w:type="dxa"/>
              <w:right w:w="100" w:type="dxa"/>
            </w:tcMar>
            <w:shd w:fill="FFFFFF"/>
          </w:tcPr>
          <w:p>
            <w:pPr>
              <w:spacing w:after="40" w:before="40" w:line="252" w:lineRule="auto"/>
            </w:pPr>
            <w:r>
              <w:rPr>
                <w:sz w:val="20"/>
              </w:rPr>
              <w:t>CA-enrolled short-lived certificate</w:t>
            </w:r>
          </w:p>
        </w:tc>
        <w:tc>
          <w:tcPr>
            <w:tcW w:type="dxa" w:w="2592"/>
            <w:vAlign w:val="center"/>
            <w:tcMar>
              <w:top w:w="100" w:type="dxa"/>
              <w:left w:w="100" w:type="dxa"/>
              <w:bottom w:w="100" w:type="dxa"/>
              <w:right w:w="100" w:type="dxa"/>
            </w:tcMar>
            <w:shd w:fill="FFFFFF"/>
          </w:tcPr>
          <w:p>
            <w:pPr>
              <w:spacing w:after="40" w:before="40" w:line="252" w:lineRule="auto"/>
            </w:pPr>
            <w:r>
              <w:rPr>
                <w:sz w:val="20"/>
              </w:rPr>
              <w:t>Temporary linked public key and local identity</w:t>
            </w:r>
          </w:p>
        </w:tc>
        <w:tc>
          <w:tcPr>
            <w:tcW w:type="dxa" w:w="2621"/>
            <w:vAlign w:val="center"/>
            <w:tcMar>
              <w:top w:w="100" w:type="dxa"/>
              <w:left w:w="100" w:type="dxa"/>
              <w:bottom w:w="100" w:type="dxa"/>
              <w:right w:w="100" w:type="dxa"/>
            </w:tcMar>
            <w:shd w:fill="FFFFFF"/>
          </w:tcPr>
          <w:p>
            <w:pPr>
              <w:spacing w:after="40" w:before="40" w:line="252" w:lineRule="auto"/>
            </w:pPr>
            <w:r>
              <w:rPr>
                <w:sz w:val="20"/>
              </w:rPr>
              <w:t>Transferred certificate and private-key PEM pair</w:t>
            </w:r>
          </w:p>
        </w:tc>
      </w:tr>
      <w:tr>
        <w:trPr>
          <w:cantSplit/>
        </w:trPr>
        <w:tc>
          <w:tcPr>
            <w:tcW w:type="dxa" w:w="2477"/>
            <w:vAlign w:val="center"/>
            <w:tcMar>
              <w:top w:w="100" w:type="dxa"/>
              <w:left w:w="100" w:type="dxa"/>
              <w:bottom w:w="100" w:type="dxa"/>
              <w:right w:w="100" w:type="dxa"/>
            </w:tcMar>
            <w:shd w:fill="F3F6FA"/>
          </w:tcPr>
          <w:p>
            <w:pPr>
              <w:spacing w:after="40" w:before="40" w:line="252" w:lineRule="auto"/>
            </w:pPr>
            <w:r>
              <w:rPr>
                <w:sz w:val="20"/>
              </w:rPr>
              <w:t>Service keytab / LDAP</w:t>
            </w:r>
          </w:p>
        </w:tc>
        <w:tc>
          <w:tcPr>
            <w:tcW w:type="dxa" w:w="2592"/>
            <w:vAlign w:val="center"/>
            <w:tcMar>
              <w:top w:w="100" w:type="dxa"/>
              <w:left w:w="100" w:type="dxa"/>
              <w:bottom w:w="100" w:type="dxa"/>
              <w:right w:w="100" w:type="dxa"/>
            </w:tcMar>
            <w:shd w:fill="F3F6FA"/>
          </w:tcPr>
          <w:p>
            <w:pPr>
              <w:spacing w:after="40" w:before="40" w:line="252" w:lineRule="auto"/>
            </w:pPr>
            <w:r>
              <w:rPr>
                <w:sz w:val="20"/>
              </w:rPr>
              <w:t>Required</w:t>
            </w:r>
          </w:p>
        </w:tc>
        <w:tc>
          <w:tcPr>
            <w:tcW w:type="dxa" w:w="2592"/>
            <w:vAlign w:val="center"/>
            <w:tcMar>
              <w:top w:w="100" w:type="dxa"/>
              <w:left w:w="100" w:type="dxa"/>
              <w:bottom w:w="100" w:type="dxa"/>
              <w:right w:w="100" w:type="dxa"/>
            </w:tcMar>
            <w:shd w:fill="F3F6FA"/>
          </w:tcPr>
          <w:p>
            <w:pPr>
              <w:spacing w:after="40" w:before="40" w:line="252" w:lineRule="auto"/>
            </w:pPr>
            <w:r>
              <w:rPr>
                <w:sz w:val="20"/>
              </w:rPr>
              <w:t>Required</w:t>
            </w:r>
          </w:p>
        </w:tc>
        <w:tc>
          <w:tcPr>
            <w:tcW w:type="dxa" w:w="2621"/>
            <w:vAlign w:val="center"/>
            <w:tcMar>
              <w:top w:w="100" w:type="dxa"/>
              <w:left w:w="100" w:type="dxa"/>
              <w:bottom w:w="100" w:type="dxa"/>
              <w:right w:w="100" w:type="dxa"/>
            </w:tcMar>
            <w:shd w:fill="F3F6FA"/>
          </w:tcPr>
          <w:p>
            <w:pPr>
              <w:spacing w:after="40" w:before="40" w:line="252" w:lineRule="auto"/>
            </w:pPr>
            <w:r>
              <w:rPr>
                <w:sz w:val="20"/>
              </w:rPr>
              <w:t>Unused</w:t>
            </w:r>
          </w:p>
        </w:tc>
      </w:tr>
      <w:tr>
        <w:trPr>
          <w:cantSplit/>
        </w:trPr>
        <w:tc>
          <w:tcPr>
            <w:tcW w:type="dxa" w:w="2477"/>
            <w:vAlign w:val="center"/>
            <w:tcMar>
              <w:top w:w="100" w:type="dxa"/>
              <w:left w:w="100" w:type="dxa"/>
              <w:bottom w:w="100" w:type="dxa"/>
              <w:right w:w="100" w:type="dxa"/>
            </w:tcMar>
            <w:shd w:fill="FFFFFF"/>
          </w:tcPr>
          <w:p>
            <w:pPr>
              <w:spacing w:after="40" w:before="40" w:line="252" w:lineRule="auto"/>
            </w:pPr>
            <w:r>
              <w:rPr>
                <w:sz w:val="20"/>
              </w:rPr>
              <w:t>CES / agent / user template</w:t>
            </w:r>
          </w:p>
        </w:tc>
        <w:tc>
          <w:tcPr>
            <w:tcW w:type="dxa" w:w="2592"/>
            <w:vAlign w:val="center"/>
            <w:tcMar>
              <w:top w:w="100" w:type="dxa"/>
              <w:left w:w="100" w:type="dxa"/>
              <w:bottom w:w="100" w:type="dxa"/>
              <w:right w:w="100" w:type="dxa"/>
            </w:tcMar>
            <w:shd w:fill="FFFFFF"/>
          </w:tcPr>
          <w:p>
            <w:pPr>
              <w:spacing w:after="40" w:before="40" w:line="252" w:lineRule="auto"/>
            </w:pPr>
            <w:r>
              <w:rPr>
                <w:sz w:val="20"/>
              </w:rPr>
              <w:t>Required</w:t>
            </w:r>
          </w:p>
        </w:tc>
        <w:tc>
          <w:tcPr>
            <w:tcW w:type="dxa" w:w="2592"/>
            <w:vAlign w:val="center"/>
            <w:tcMar>
              <w:top w:w="100" w:type="dxa"/>
              <w:left w:w="100" w:type="dxa"/>
              <w:bottom w:w="100" w:type="dxa"/>
              <w:right w:w="100" w:type="dxa"/>
            </w:tcMar>
            <w:shd w:fill="FFFFFF"/>
          </w:tcPr>
          <w:p>
            <w:pPr>
              <w:spacing w:after="40" w:before="40" w:line="252" w:lineRule="auto"/>
            </w:pPr>
            <w:r>
              <w:rPr>
                <w:sz w:val="20"/>
              </w:rPr>
              <w:t>Unused</w:t>
            </w:r>
          </w:p>
        </w:tc>
        <w:tc>
          <w:tcPr>
            <w:tcW w:type="dxa" w:w="2621"/>
            <w:vAlign w:val="center"/>
            <w:tcMar>
              <w:top w:w="100" w:type="dxa"/>
              <w:left w:w="100" w:type="dxa"/>
              <w:bottom w:w="100" w:type="dxa"/>
              <w:right w:w="100" w:type="dxa"/>
            </w:tcMar>
            <w:shd w:fill="FFFFFF"/>
          </w:tcPr>
          <w:p>
            <w:pPr>
              <w:spacing w:after="40" w:before="40" w:line="252" w:lineRule="auto"/>
            </w:pPr>
            <w:r>
              <w:rPr>
                <w:sz w:val="20"/>
              </w:rPr>
              <w:t>Direct Windows enrollment template; no Linux CES/agent</w:t>
            </w:r>
          </w:p>
        </w:tc>
      </w:tr>
      <w:tr>
        <w:trPr>
          <w:cantSplit/>
        </w:trPr>
        <w:tc>
          <w:tcPr>
            <w:tcW w:type="dxa" w:w="2477"/>
            <w:vAlign w:val="center"/>
            <w:tcMar>
              <w:top w:w="100" w:type="dxa"/>
              <w:left w:w="100" w:type="dxa"/>
              <w:bottom w:w="100" w:type="dxa"/>
              <w:right w:w="100" w:type="dxa"/>
            </w:tcMar>
            <w:shd w:fill="F3F6FA"/>
          </w:tcPr>
          <w:p>
            <w:pPr>
              <w:spacing w:after="40" w:before="40" w:line="252" w:lineRule="auto"/>
            </w:pPr>
            <w:r>
              <w:rPr>
                <w:sz w:val="20"/>
              </w:rPr>
              <w:t>Authorization</w:t>
            </w:r>
          </w:p>
        </w:tc>
        <w:tc>
          <w:tcPr>
            <w:tcW w:type="dxa" w:w="2592"/>
            <w:vAlign w:val="center"/>
            <w:tcMar>
              <w:top w:w="100" w:type="dxa"/>
              <w:left w:w="100" w:type="dxa"/>
              <w:bottom w:w="100" w:type="dxa"/>
              <w:right w:w="100" w:type="dxa"/>
            </w:tcMar>
            <w:shd w:fill="F3F6FA"/>
          </w:tcPr>
          <w:p>
            <w:pPr>
              <w:spacing w:after="40" w:before="40" w:line="252" w:lineRule="auto"/>
            </w:pPr>
            <w:r>
              <w:rPr>
                <w:sz w:val="20"/>
              </w:rPr>
              <w:t>CA agent/template/recipient restrictions</w:t>
            </w:r>
          </w:p>
        </w:tc>
        <w:tc>
          <w:tcPr>
            <w:tcW w:type="dxa" w:w="2592"/>
            <w:vAlign w:val="center"/>
            <w:tcMar>
              <w:top w:w="100" w:type="dxa"/>
              <w:left w:w="100" w:type="dxa"/>
              <w:bottom w:w="100" w:type="dxa"/>
              <w:right w:w="100" w:type="dxa"/>
            </w:tcMar>
            <w:shd w:fill="F3F6FA"/>
          </w:tcPr>
          <w:p>
            <w:pPr>
              <w:spacing w:after="40" w:before="40" w:line="252" w:lineRule="auto"/>
            </w:pPr>
            <w:r>
              <w:rPr>
                <w:sz w:val="20"/>
              </w:rPr>
              <w:t>Scoped AD attribute delegation</w:t>
            </w:r>
          </w:p>
        </w:tc>
        <w:tc>
          <w:tcPr>
            <w:tcW w:type="dxa" w:w="2621"/>
            <w:vAlign w:val="center"/>
            <w:tcMar>
              <w:top w:w="100" w:type="dxa"/>
              <w:left w:w="100" w:type="dxa"/>
              <w:bottom w:w="100" w:type="dxa"/>
              <w:right w:w="100" w:type="dxa"/>
            </w:tcMar>
            <w:shd w:fill="F3F6FA"/>
          </w:tcPr>
          <w:p>
            <w:pPr>
              <w:spacing w:after="40" w:before="40" w:line="252" w:lineRule="auto"/>
            </w:pPr>
            <w:r>
              <w:rPr>
                <w:sz w:val="20"/>
              </w:rPr>
              <w:t>User enrollment and KDC certificate mapping</w:t>
            </w:r>
          </w:p>
        </w:tc>
      </w:tr>
      <w:tr>
        <w:trPr>
          <w:cantSplit/>
        </w:trPr>
        <w:tc>
          <w:tcPr>
            <w:tcW w:type="dxa" w:w="2477"/>
            <w:vAlign w:val="center"/>
            <w:tcMar>
              <w:top w:w="100" w:type="dxa"/>
              <w:left w:w="100" w:type="dxa"/>
              <w:bottom w:w="100" w:type="dxa"/>
              <w:right w:w="100" w:type="dxa"/>
            </w:tcMar>
            <w:shd w:fill="FFFFFF"/>
          </w:tcPr>
          <w:p>
            <w:pPr>
              <w:spacing w:after="40" w:before="40" w:line="252" w:lineRule="auto"/>
            </w:pPr>
            <w:r>
              <w:rPr>
                <w:sz w:val="20"/>
              </w:rPr>
              <w:t>KDC certificate trust / CRLs</w:t>
            </w:r>
          </w:p>
        </w:tc>
        <w:tc>
          <w:tcPr>
            <w:tcW w:type="dxa" w:w="2592"/>
            <w:vAlign w:val="center"/>
            <w:tcMar>
              <w:top w:w="100" w:type="dxa"/>
              <w:left w:w="100" w:type="dxa"/>
              <w:bottom w:w="100" w:type="dxa"/>
              <w:right w:w="100" w:type="dxa"/>
            </w:tcMar>
            <w:shd w:fill="FFFFFF"/>
          </w:tcPr>
          <w:p>
            <w:pPr>
              <w:spacing w:after="40" w:before="40" w:line="252" w:lineRule="auto"/>
            </w:pPr>
            <w:r>
              <w:rPr>
                <w:sz w:val="20"/>
              </w:rPr>
              <w:t>Required</w:t>
            </w:r>
          </w:p>
        </w:tc>
        <w:tc>
          <w:tcPr>
            <w:tcW w:type="dxa" w:w="2592"/>
            <w:vAlign w:val="center"/>
            <w:tcMar>
              <w:top w:w="100" w:type="dxa"/>
              <w:left w:w="100" w:type="dxa"/>
              <w:bottom w:w="100" w:type="dxa"/>
              <w:right w:w="100" w:type="dxa"/>
            </w:tcMar>
            <w:shd w:fill="FFFFFF"/>
          </w:tcPr>
          <w:p>
            <w:pPr>
              <w:spacing w:after="40" w:before="40" w:line="252" w:lineRule="auto"/>
            </w:pPr>
            <w:r>
              <w:rPr>
                <w:sz w:val="20"/>
              </w:rPr>
              <w:t>Required</w:t>
            </w:r>
          </w:p>
        </w:tc>
        <w:tc>
          <w:tcPr>
            <w:tcW w:type="dxa" w:w="2621"/>
            <w:vAlign w:val="center"/>
            <w:tcMar>
              <w:top w:w="100" w:type="dxa"/>
              <w:left w:w="100" w:type="dxa"/>
              <w:bottom w:w="100" w:type="dxa"/>
              <w:right w:w="100" w:type="dxa"/>
            </w:tcMar>
            <w:shd w:fill="FFFFFF"/>
          </w:tcPr>
          <w:p>
            <w:pPr>
              <w:spacing w:after="40" w:before="40" w:line="252" w:lineRule="auto"/>
            </w:pPr>
            <w:r>
              <w:rPr>
                <w:sz w:val="20"/>
              </w:rPr>
              <w:t>Required</w:t>
            </w:r>
          </w:p>
        </w:tc>
      </w:tr>
      <w:tr>
        <w:trPr>
          <w:cantSplit/>
        </w:trPr>
        <w:tc>
          <w:tcPr>
            <w:tcW w:type="dxa" w:w="2477"/>
            <w:vAlign w:val="center"/>
            <w:tcMar>
              <w:top w:w="100" w:type="dxa"/>
              <w:left w:w="100" w:type="dxa"/>
              <w:bottom w:w="100" w:type="dxa"/>
              <w:right w:w="100" w:type="dxa"/>
            </w:tcMar>
            <w:shd w:fill="F3F6FA"/>
          </w:tcPr>
          <w:p>
            <w:pPr>
              <w:spacing w:after="40" w:before="40" w:line="252" w:lineRule="auto"/>
            </w:pPr>
            <w:r>
              <w:rPr>
                <w:sz w:val="20"/>
              </w:rPr>
              <w:t>Setup</w:t>
            </w:r>
          </w:p>
        </w:tc>
        <w:tc>
          <w:tcPr>
            <w:tcW w:type="dxa" w:w="2592"/>
            <w:vAlign w:val="center"/>
            <w:tcMar>
              <w:top w:w="100" w:type="dxa"/>
              <w:left w:w="100" w:type="dxa"/>
              <w:bottom w:w="100" w:type="dxa"/>
              <w:right w:w="100" w:type="dxa"/>
            </w:tcMar>
            <w:shd w:fill="F3F6FA"/>
          </w:tcPr>
          <w:p>
            <w:pPr>
              <w:spacing w:after="40" w:before="40" w:line="252" w:lineRule="auto"/>
            </w:pPr>
            <w:hyperlink r:id="rId8">
              <w:r>
                <w:rPr>
                  <w:color w:val="315DC0"/>
                  <w:u w:val="single"/>
                </w:rPr>
                <w:t>Mode 1 instructions</w:t>
              </w:r>
            </w:hyperlink>
          </w:p>
        </w:tc>
        <w:tc>
          <w:tcPr>
            <w:tcW w:type="dxa" w:w="2592"/>
            <w:vAlign w:val="center"/>
            <w:tcMar>
              <w:top w:w="100" w:type="dxa"/>
              <w:left w:w="100" w:type="dxa"/>
              <w:bottom w:w="100" w:type="dxa"/>
              <w:right w:w="100" w:type="dxa"/>
            </w:tcMar>
            <w:shd w:fill="F3F6FA"/>
          </w:tcPr>
          <w:p>
            <w:pPr>
              <w:spacing w:after="40" w:before="40" w:line="252" w:lineRule="auto"/>
            </w:pPr>
            <w:hyperlink r:id="rId9">
              <w:r>
                <w:rPr>
                  <w:color w:val="315DC0"/>
                  <w:u w:val="single"/>
                </w:rPr>
                <w:t>Mode 2 instructions</w:t>
              </w:r>
            </w:hyperlink>
          </w:p>
        </w:tc>
        <w:tc>
          <w:tcPr>
            <w:tcW w:type="dxa" w:w="2621"/>
            <w:vAlign w:val="center"/>
            <w:tcMar>
              <w:top w:w="100" w:type="dxa"/>
              <w:left w:w="100" w:type="dxa"/>
              <w:bottom w:w="100" w:type="dxa"/>
              <w:right w:w="100" w:type="dxa"/>
            </w:tcMar>
            <w:shd w:fill="F3F6FA"/>
          </w:tcPr>
          <w:p>
            <w:pPr>
              <w:spacing w:after="40" w:before="40" w:line="252" w:lineRule="auto"/>
            </w:pPr>
            <w:hyperlink r:id="rId10">
              <w:r>
                <w:rPr>
                  <w:color w:val="315DC0"/>
                  <w:u w:val="single"/>
                </w:rPr>
                <w:t>Mode 3 instructions</w:t>
              </w:r>
            </w:hyperlink>
          </w:p>
        </w:tc>
      </w:tr>
    </w:tbl>
    <w:p>
      <w:pPr>
        <w:spacing w:after="0"/>
      </w:pPr>
    </w:p>
    <w:p>
      <w:r>
        <w:t>Mode 4 uses the same privileged Linux installation as modes 1 and 2, plus a dedicated broker AES keytab with protocol transition and approved target SPNs. It requires no certificates, CRLs, PKINIT, LDAP or CES. See the mode 4 setup page.</w:t>
      </w:r>
    </w:p>
    <w:p>
      <w:pPr>
        <w:pStyle w:val="Heading1"/>
        <w:pageBreakBefore/>
      </w:pPr>
      <w:r>
        <w:t>Shared Linux preparation</w:t>
      </w:r>
    </w:p>
    <w:p>
      <w:r>
        <w:t>Build as an ordinary user from the repository root with GCC/libstdc++ 13.1 or equivalent C++20 support, CMake 3.16 or newer, OpenSSL 1.1.1 or newer, MIT Kerberos, libcurl, libxml2, OpenLDAP, SASL and MIT GSSAPI. Install MIT PKINIT for modes 1-3 and, for modes 1 and 2, the SASL GSSAPI plugin. CES Negotiate needs libcurl SPNEGO. Use supported patched packages meeting the installation guide's requirements. A working /dev/log socket is required.</w:t>
      </w:r>
    </w:p>
    <w:p>
      <w:pPr>
        <w:pStyle w:val="CodeBlock"/>
        <w:keepLines/>
      </w:pPr>
      <w:r>
        <w:t>cmake -S source -B build -DCMAKE_BUILD_TYPE=Release</w:t>
        <w:br/>
        <w:t>cmake --build build -j2</w:t>
        <w:br/>
        <w:t>ctest --test-dir build --output-on-failure</w:t>
      </w:r>
    </w:p>
    <w:p>
      <w:r>
        <w:t>Install the production launcher, worker and optional maintainer manually; there is no CMake installation target. Keep /etc/craft/config and krb5.conf root-owned mode 0644 with protected parents. Pin the realm, KDC and expected KDC hostname; provide populated kdc-trust.pem and current kdc-crls.pem for modes 1-3. Modes 1 and 3 also require ca-trust.pem and ca-crls.pem for the user certificate; enrollment also validates the agent. Empty placeholders are invalid. Refresh CRLs independently.</w:t>
      </w:r>
    </w:p>
    <w:p>
      <w:r>
        <w:t>Modes 1, 2 and 4 add craft:craft, craft-users and /run/craft owned craft:craft mode 0700. Private service credentials are root:craft mode 0640. Only the service account belongs to craft; ordinary users join craft-users. Keep enabled=no and the launcher non-setuid until the selected setup is ready, then enable acquisition and set launcher mode 4750. Users invoke craft directly without sudo.</w:t>
      </w:r>
    </w:p>
    <w:p>
      <w:hyperlink r:id="rId11">
        <w:r>
          <w:rPr>
            <w:color w:val="315DC0"/>
            <w:u w:val="single"/>
          </w:rPr>
          <w:t>Shared installation</w:t>
        </w:r>
      </w:hyperlink>
      <w:r>
        <w:t xml:space="preserve">  |  </w:t>
      </w:r>
      <w:hyperlink r:id="rId12">
        <w:r>
          <w:rPr>
            <w:color w:val="315DC0"/>
            <w:u w:val="single"/>
          </w:rPr>
          <w:t>Privileged installation</w:t>
        </w:r>
      </w:hyperlink>
      <w:r>
        <w:t xml:space="preserve">  |  </w:t>
      </w:r>
      <w:hyperlink r:id="rId13">
        <w:r>
          <w:rPr>
            <w:color w:val="315DC0"/>
            <w:u w:val="single"/>
          </w:rPr>
          <w:t>Configuration reference</w:t>
        </w:r>
      </w:hyperlink>
    </w:p>
    <w:p>
      <w:pPr>
        <w:pStyle w:val="Heading1"/>
        <w:pageBreakBefore/>
      </w:pPr>
      <w:r>
        <w:t>Mode 1 privileged certificate enrollment setup</w:t>
      </w:r>
    </w:p>
    <w:p>
      <w:hyperlink r:id="rId8">
        <w:r>
          <w:rPr>
            <w:color w:val="315DC0"/>
            <w:u w:val="single"/>
          </w:rPr>
          <w:t>Complete mode 1 setup</w:t>
        </w:r>
      </w:hyperlink>
      <w:r>
        <w:t xml:space="preserve">  |  </w:t>
      </w:r>
      <w:hyperlink r:id="rId14">
        <w:r>
          <w:rPr>
            <w:color w:val="315DC0"/>
            <w:u w:val="single"/>
          </w:rPr>
          <w:t>Enrollment flow diagram</w:t>
        </w:r>
      </w:hyperlink>
      <w:r>
        <w:t xml:space="preserve">  |  </w:t>
      </w:r>
      <w:hyperlink r:id="rId15">
        <w:r>
          <w:rPr>
            <w:color w:val="315DC0"/>
            <w:u w:val="single"/>
          </w:rPr>
          <w:t>CA authorization</w:t>
        </w:r>
      </w:hyperlink>
    </w:p>
    <w:p>
      <w:r>
        <w:t>Complete the shared Linux and privileged installation. Provision a directory/submission account with AES keys and install submitter.keytab. Install the enrollment-agent certificate and matching unencrypted key as agent.pem and agent.key. Install CES HTTPS trust as https-trust.pem. Protect these files as root:craft mode 0640.</w:t>
      </w:r>
    </w:p>
    <w:p>
      <w:r>
        <w:t>Configure AD CS and CES for initial enrollment using a dedicated EOBO user template. Restrict the actual signing agent, permitted template and approved recipient group at the CA; exclude privileged identities. Resolve Linux names to the intended AD sAMAccountName and directory UPN. CA-built identity and SID mapping must satisfy current KDC policy. The CA helper performs partial lab provisioning and verifies narrow restrictions before publication/export; configure those restrictions first.</w:t>
      </w:r>
    </w:p>
    <w:p>
      <w:pPr>
        <w:pStyle w:val="CodeBlock"/>
        <w:keepLines/>
      </w:pPr>
      <w:r>
        <w:t>enabled=no</w:t>
        <w:br/>
        <w:t>domain=domain.local</w:t>
        <w:br/>
        <w:t>realm=DOMAIN.LOCAL</w:t>
        <w:br/>
        <w:t>mechanism=enrollment</w:t>
        <w:br/>
        <w:t>netbios=DOMAIN</w:t>
        <w:br/>
        <w:t>service_principal=svc-linux-enroll@DOMAIN.LOCAL</w:t>
        <w:br/>
        <w:t>template_oid=1.3.6.1.4.1.311.21.8.999.1</w:t>
        <w:br/>
        <w:t>ces_url=https://ces.domain.local/IssuingCA_CES_Kerberos/service.svc/CES</w:t>
        <w:br/>
        <w:t>ces_auth=negotiate</w:t>
        <w:br/>
        <w:t>key_bits=3072</w:t>
        <w:br/>
        <w:t>certificate_cn={user}</w:t>
        <w:br/>
        <w:t>tgt_seconds=36000</w:t>
        <w:br/>
        <w:t>renew_seconds=604800</w:t>
        <w:br/>
        <w:t>require_full_tgt_lifetime=yes</w:t>
        <w:br/>
        <w:t>cert_remaining_max_seconds=36000</w:t>
        <w:br/>
        <w:t>cert_total_max_seconds=36000</w:t>
        <w:br/>
        <w:t>minimum_interval_seconds=60</w:t>
      </w:r>
    </w:p>
    <w:p>
      <w:r>
        <w:t>Replace every placeholder. template_oid is the actual msPKI-Cert-Template-OID, not the template display name. The CES URL is pinned, not discovered through Windows enrollment policy. Configure the optional GC endpoint/base when needed. The helper signs DOMAIN\user in the EOBO request and validates the returned certificate against the directory UPN.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98"/>
      </w:tblGrid>
      <w:tr>
        <w:trPr>
          <w:tblHeader/>
          <w:cantSplit/>
        </w:trPr>
        <w:tc>
          <w:tcPr>
            <w:tcW w:type="dxa" w:w="1584"/>
            <w:vAlign w:val="center"/>
            <w:tcMar>
              <w:top w:w="100" w:type="dxa"/>
              <w:left w:w="100" w:type="dxa"/>
              <w:bottom w:w="100" w:type="dxa"/>
              <w:right w:w="100" w:type="dxa"/>
            </w:tcMar>
            <w:shd w:fill="18334A"/>
          </w:tcPr>
          <w:p>
            <w:pPr>
              <w:spacing w:after="40" w:before="40" w:line="252" w:lineRule="auto"/>
            </w:pPr>
            <w:r>
              <w:rPr>
                <w:b/>
                <w:color w:val="FFFFFF"/>
                <w:sz w:val="20"/>
              </w:rPr>
              <w:t>CES transport</w:t>
            </w:r>
          </w:p>
        </w:tc>
        <w:tc>
          <w:tcPr>
            <w:tcW w:type="dxa" w:w="8698"/>
            <w:vAlign w:val="center"/>
            <w:tcMar>
              <w:top w:w="100" w:type="dxa"/>
              <w:left w:w="100" w:type="dxa"/>
              <w:bottom w:w="100" w:type="dxa"/>
              <w:right w:w="100" w:type="dxa"/>
            </w:tcMar>
            <w:shd w:fill="18334A"/>
          </w:tcPr>
          <w:p>
            <w:pPr>
              <w:spacing w:after="40" w:before="40" w:line="252" w:lineRule="auto"/>
            </w:pPr>
            <w:r>
              <w:rPr>
                <w:b/>
                <w:color w:val="FFFFFF"/>
                <w:sz w:val="20"/>
              </w:rPr>
              <w:t>Additional requirements</w:t>
            </w:r>
          </w:p>
        </w:tc>
      </w:tr>
      <w:tr>
        <w:trPr>
          <w:cantSplit/>
        </w:trPr>
        <w:tc>
          <w:tcPr>
            <w:tcW w:type="dxa" w:w="1584"/>
            <w:vAlign w:val="center"/>
            <w:tcMar>
              <w:top w:w="100" w:type="dxa"/>
              <w:left w:w="100" w:type="dxa"/>
              <w:bottom w:w="100" w:type="dxa"/>
              <w:right w:w="100" w:type="dxa"/>
            </w:tcMar>
            <w:shd w:fill="F3F6FA"/>
          </w:tcPr>
          <w:p>
            <w:pPr>
              <w:spacing w:after="40" w:before="40" w:line="252" w:lineRule="auto"/>
            </w:pPr>
            <w:r>
              <w:rPr>
                <w:sz w:val="20"/>
              </w:rPr>
              <w:t>negotiate</w:t>
            </w:r>
          </w:p>
        </w:tc>
        <w:tc>
          <w:tcPr>
            <w:tcW w:type="dxa" w:w="8698"/>
            <w:vAlign w:val="center"/>
            <w:tcMar>
              <w:top w:w="100" w:type="dxa"/>
              <w:left w:w="100" w:type="dxa"/>
              <w:bottom w:w="100" w:type="dxa"/>
              <w:right w:w="100" w:type="dxa"/>
            </w:tcMar>
            <w:shd w:fill="F3F6FA"/>
          </w:tcPr>
          <w:p>
            <w:pPr>
              <w:spacing w:after="40" w:before="40" w:line="252" w:lineRule="auto"/>
            </w:pPr>
            <w:r>
              <w:rPr>
                <w:sz w:val="20"/>
              </w:rPr>
              <w:t>Service keytab authenticates HTTP as well as LDAP. Configure the HTTP SPN and required CES-to-CA constrained delegation. The worker's short-lived transport TGT is never returned to the user.</w:t>
            </w:r>
          </w:p>
        </w:tc>
      </w:tr>
      <w:tr>
        <w:trPr>
          <w:cantSplit/>
        </w:trPr>
        <w:tc>
          <w:tcPr>
            <w:tcW w:type="dxa" w:w="1584"/>
            <w:vAlign w:val="center"/>
            <w:tcMar>
              <w:top w:w="100" w:type="dxa"/>
              <w:left w:w="100" w:type="dxa"/>
              <w:bottom w:w="100" w:type="dxa"/>
              <w:right w:w="100" w:type="dxa"/>
            </w:tcMar>
            <w:shd w:fill="FFFFFF"/>
          </w:tcPr>
          <w:p>
            <w:pPr>
              <w:spacing w:after="40" w:before="40" w:line="252" w:lineRule="auto"/>
            </w:pPr>
            <w:r>
              <w:rPr>
                <w:sz w:val="20"/>
              </w:rPr>
              <w:t>mtls</w:t>
            </w:r>
          </w:p>
        </w:tc>
        <w:tc>
          <w:tcPr>
            <w:tcW w:type="dxa" w:w="8698"/>
            <w:vAlign w:val="center"/>
            <w:tcMar>
              <w:top w:w="100" w:type="dxa"/>
              <w:left w:w="100" w:type="dxa"/>
              <w:bottom w:w="100" w:type="dxa"/>
              <w:right w:w="100" w:type="dxa"/>
            </w:tcMar>
            <w:shd w:fill="FFFFFF"/>
          </w:tcPr>
          <w:p>
            <w:pPr>
              <w:spacing w:after="40" w:before="40" w:line="252" w:lineRule="auto"/>
            </w:pPr>
            <w:r>
              <w:rPr>
                <w:sz w:val="20"/>
              </w:rPr>
              <w:t>Use the actual certificate-authenticated CES endpoint and separate https-client.pem / https-client.key mapped to the submitting account. The directory keytab is still required.</w:t>
            </w:r>
          </w:p>
        </w:tc>
      </w:tr>
    </w:tbl>
    <w:p>
      <w:pPr>
        <w:spacing w:after="0"/>
      </w:pPr>
    </w:p>
    <w:p>
      <w:r>
        <w:t>CES HTTPS uses https-trust.pem for chain/hostname verification. Optional https-crls.pem enforces revocation for the whole server chain; without it, HTTPS CRL/OCSP checks are absent. Refresh all required CRLs independently.</w:t>
      </w:r>
    </w:p>
    <w:p>
      <w:r>
        <w:t>Validate the template profile on the next page and prove CA refusal for out-of-scope recipients. Set enabled=yes and enable the setuid launcher only when ready. Test as an approved user with both home PEM files absent, so the supplied-certificate path does not hide the enrollment setup.</w:t>
      </w:r>
    </w:p>
    <w:p>
      <w:pPr>
        <w:pStyle w:val="Heading1"/>
        <w:pageBreakBefore/>
      </w:pPr>
      <w:r>
        <w:t>Mode 1 certificate and ticket policy</w:t>
      </w:r>
    </w:p>
    <w:p>
      <w:r>
        <w:t>The CA controls the issued certificate. CSR extensions are requests, and client-side validation cannot replace CA authorization. This profile applies to CRAFT enrollment; mode 3 accepts its separate supplied-certificate profile and mode 2 is authorized by its directory key.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338"/>
      </w:tblGrid>
      <w:tr>
        <w:trPr>
          <w:tblHeader/>
          <w:cantSplit/>
        </w:trPr>
        <w:tc>
          <w:tcPr>
            <w:tcW w:type="dxa" w:w="1944"/>
            <w:vAlign w:val="center"/>
            <w:tcMar>
              <w:top w:w="100" w:type="dxa"/>
              <w:left w:w="100" w:type="dxa"/>
              <w:bottom w:w="100" w:type="dxa"/>
              <w:right w:w="100" w:type="dxa"/>
            </w:tcMar>
            <w:shd w:fill="18334A"/>
          </w:tcPr>
          <w:p>
            <w:pPr>
              <w:spacing w:after="40" w:before="40" w:line="252" w:lineRule="auto"/>
            </w:pPr>
            <w:r>
              <w:rPr>
                <w:b/>
                <w:color w:val="FFFFFF"/>
                <w:sz w:val="20"/>
              </w:rPr>
              <w:t>Property</w:t>
            </w:r>
          </w:p>
        </w:tc>
        <w:tc>
          <w:tcPr>
            <w:tcW w:type="dxa" w:w="8338"/>
            <w:vAlign w:val="center"/>
            <w:tcMar>
              <w:top w:w="100" w:type="dxa"/>
              <w:left w:w="100" w:type="dxa"/>
              <w:bottom w:w="100" w:type="dxa"/>
              <w:right w:w="100" w:type="dxa"/>
            </w:tcMar>
            <w:shd w:fill="18334A"/>
          </w:tcPr>
          <w:p>
            <w:pPr>
              <w:spacing w:after="40" w:before="40" w:line="252" w:lineRule="auto"/>
            </w:pPr>
            <w:r>
              <w:rPr>
                <w:b/>
                <w:color w:val="FFFFFF"/>
                <w:sz w:val="20"/>
              </w:rPr>
              <w:t>Required enrollment profile</w:t>
            </w:r>
          </w:p>
        </w:tc>
      </w:tr>
      <w:tr>
        <w:trPr>
          <w:cantSplit/>
        </w:trPr>
        <w:tc>
          <w:tcPr>
            <w:tcW w:type="dxa" w:w="1944"/>
            <w:vAlign w:val="center"/>
            <w:tcMar>
              <w:top w:w="100" w:type="dxa"/>
              <w:left w:w="100" w:type="dxa"/>
              <w:bottom w:w="100" w:type="dxa"/>
              <w:right w:w="100" w:type="dxa"/>
            </w:tcMar>
            <w:shd w:fill="F3F6FA"/>
          </w:tcPr>
          <w:p>
            <w:pPr>
              <w:spacing w:after="40" w:before="40" w:line="252" w:lineRule="auto"/>
            </w:pPr>
            <w:r>
              <w:rPr>
                <w:sz w:val="20"/>
              </w:rPr>
              <w:t>Subject and identity</w:t>
            </w:r>
          </w:p>
        </w:tc>
        <w:tc>
          <w:tcPr>
            <w:tcW w:type="dxa" w:w="8338"/>
            <w:vAlign w:val="center"/>
            <w:tcMar>
              <w:top w:w="100" w:type="dxa"/>
              <w:left w:w="100" w:type="dxa"/>
              <w:bottom w:w="100" w:type="dxa"/>
              <w:right w:w="100" w:type="dxa"/>
            </w:tcMar>
            <w:shd w:fill="F3F6FA"/>
          </w:tcPr>
          <w:p>
            <w:pPr>
              <w:spacing w:after="40" w:before="40" w:line="252" w:lineRule="auto"/>
            </w:pPr>
            <w:r>
              <w:rPr>
                <w:sz w:val="20"/>
              </w:rPr>
              <w:t>The UPN otherName SAN (1.3.6.1.4.1.311.20.2.3) must match the directory-resolved UPN. The CA supplies the account SID security extension for current AD certificate mapping. The CN is not the authentication identity.</w:t>
            </w:r>
          </w:p>
        </w:tc>
      </w:tr>
      <w:tr>
        <w:trPr>
          <w:cantSplit/>
        </w:trPr>
        <w:tc>
          <w:tcPr>
            <w:tcW w:type="dxa" w:w="1944"/>
            <w:vAlign w:val="center"/>
            <w:tcMar>
              <w:top w:w="100" w:type="dxa"/>
              <w:left w:w="100" w:type="dxa"/>
              <w:bottom w:w="100" w:type="dxa"/>
              <w:right w:w="100" w:type="dxa"/>
            </w:tcMar>
            <w:shd w:fill="FFFFFF"/>
          </w:tcPr>
          <w:p>
            <w:pPr>
              <w:spacing w:after="40" w:before="40" w:line="252" w:lineRule="auto"/>
            </w:pPr>
            <w:r>
              <w:rPr>
                <w:sz w:val="20"/>
              </w:rPr>
              <w:t>Client EKUs</w:t>
            </w:r>
          </w:p>
        </w:tc>
        <w:tc>
          <w:tcPr>
            <w:tcW w:type="dxa" w:w="8338"/>
            <w:vAlign w:val="center"/>
            <w:tcMar>
              <w:top w:w="100" w:type="dxa"/>
              <w:left w:w="100" w:type="dxa"/>
              <w:bottom w:w="100" w:type="dxa"/>
              <w:right w:w="100" w:type="dxa"/>
            </w:tcMar>
            <w:shd w:fill="FFFFFF"/>
          </w:tcPr>
          <w:p>
            <w:pPr>
              <w:spacing w:after="40" w:before="40" w:line="252" w:lineRule="auto"/>
            </w:pPr>
            <w:r>
              <w:rPr>
                <w:sz w:val="20"/>
              </w:rPr>
              <w:t>Client Authentication 1.3.6.1.5.5.7.3.2</w:t>
              <w:br/>
              <w:t>Smart Card Logon 1.3.6.1.4.1.311.20.2.2</w:t>
              <w:br/>
              <w:t>PKINIT Client Authentication 1.3.6.1.5.2.3.4</w:t>
            </w:r>
          </w:p>
        </w:tc>
      </w:tr>
      <w:tr>
        <w:trPr>
          <w:cantSplit/>
        </w:trPr>
        <w:tc>
          <w:tcPr>
            <w:tcW w:type="dxa" w:w="1944"/>
            <w:vAlign w:val="center"/>
            <w:tcMar>
              <w:top w:w="100" w:type="dxa"/>
              <w:left w:w="100" w:type="dxa"/>
              <w:bottom w:w="100" w:type="dxa"/>
              <w:right w:w="100" w:type="dxa"/>
            </w:tcMar>
            <w:shd w:fill="F3F6FA"/>
          </w:tcPr>
          <w:p>
            <w:pPr>
              <w:spacing w:after="40" w:before="40" w:line="252" w:lineRule="auto"/>
            </w:pPr>
            <w:r>
              <w:rPr>
                <w:sz w:val="20"/>
              </w:rPr>
              <w:t>Key and basic constraints</w:t>
            </w:r>
          </w:p>
        </w:tc>
        <w:tc>
          <w:tcPr>
            <w:tcW w:type="dxa" w:w="8338"/>
            <w:vAlign w:val="center"/>
            <w:tcMar>
              <w:top w:w="100" w:type="dxa"/>
              <w:left w:w="100" w:type="dxa"/>
              <w:bottom w:w="100" w:type="dxa"/>
              <w:right w:w="100" w:type="dxa"/>
            </w:tcMar>
            <w:shd w:fill="F3F6FA"/>
          </w:tcPr>
          <w:p>
            <w:pPr>
              <w:spacing w:after="40" w:before="40" w:line="252" w:lineRule="auto"/>
            </w:pPr>
            <w:r>
              <w:rPr>
                <w:sz w:val="20"/>
              </w:rPr>
              <w:t>RSA defaults to 3072 bits; key_bits accepts 2048/3072/4096 and must meet the template minimum. Explicit CA:FALSE with no path length; digitalSignature required; keyCertSign and cRLSign forbidden. The CSR also requests keyEncipherment.</w:t>
            </w:r>
          </w:p>
        </w:tc>
      </w:tr>
      <w:tr>
        <w:trPr>
          <w:cantSplit/>
        </w:trPr>
        <w:tc>
          <w:tcPr>
            <w:tcW w:type="dxa" w:w="1944"/>
            <w:vAlign w:val="center"/>
            <w:tcMar>
              <w:top w:w="100" w:type="dxa"/>
              <w:left w:w="100" w:type="dxa"/>
              <w:bottom w:w="100" w:type="dxa"/>
              <w:right w:w="100" w:type="dxa"/>
            </w:tcMar>
            <w:shd w:fill="FFFFFF"/>
          </w:tcPr>
          <w:p>
            <w:pPr>
              <w:spacing w:after="40" w:before="40" w:line="252" w:lineRule="auto"/>
            </w:pPr>
            <w:r>
              <w:rPr>
                <w:sz w:val="20"/>
              </w:rPr>
              <w:t>Template</w:t>
            </w:r>
          </w:p>
        </w:tc>
        <w:tc>
          <w:tcPr>
            <w:tcW w:type="dxa" w:w="8338"/>
            <w:vAlign w:val="center"/>
            <w:tcMar>
              <w:top w:w="100" w:type="dxa"/>
              <w:left w:w="100" w:type="dxa"/>
              <w:bottom w:w="100" w:type="dxa"/>
              <w:right w:w="100" w:type="dxa"/>
            </w:tcMar>
            <w:shd w:fill="FFFFFF"/>
          </w:tcPr>
          <w:p>
            <w:pPr>
              <w:spacing w:after="40" w:before="40" w:line="252" w:lineRule="auto"/>
            </w:pPr>
            <w:r>
              <w:rPr>
                <w:sz w:val="20"/>
              </w:rPr>
              <w:t>Template-information extension must contain the configured template OID. The signing agent must be authorized for that template and recipient.</w:t>
            </w:r>
          </w:p>
        </w:tc>
      </w:tr>
      <w:tr>
        <w:trPr>
          <w:cantSplit/>
        </w:trPr>
        <w:tc>
          <w:tcPr>
            <w:tcW w:type="dxa" w:w="1944"/>
            <w:vAlign w:val="center"/>
            <w:tcMar>
              <w:top w:w="100" w:type="dxa"/>
              <w:left w:w="100" w:type="dxa"/>
              <w:bottom w:w="100" w:type="dxa"/>
              <w:right w:w="100" w:type="dxa"/>
            </w:tcMar>
            <w:shd w:fill="F3F6FA"/>
          </w:tcPr>
          <w:p>
            <w:pPr>
              <w:spacing w:after="40" w:before="40" w:line="252" w:lineRule="auto"/>
            </w:pPr>
            <w:r>
              <w:rPr>
                <w:sz w:val="20"/>
              </w:rPr>
              <w:t>Validity</w:t>
            </w:r>
          </w:p>
        </w:tc>
        <w:tc>
          <w:tcPr>
            <w:tcW w:type="dxa" w:w="8338"/>
            <w:vAlign w:val="center"/>
            <w:tcMar>
              <w:top w:w="100" w:type="dxa"/>
              <w:left w:w="100" w:type="dxa"/>
              <w:bottom w:w="100" w:type="dxa"/>
              <w:right w:w="100" w:type="dxa"/>
            </w:tcMar>
            <w:shd w:fill="F3F6FA"/>
          </w:tcPr>
          <w:p>
            <w:pPr>
              <w:spacing w:after="40" w:before="40" w:line="252" w:lineRule="auto"/>
            </w:pPr>
            <w:r>
              <w:rPr>
                <w:sz w:val="20"/>
              </w:rPr>
              <w:t>Current validity with more than 60 seconds remaining. Default cap is ten hours total notBefore-to-notAfter, including backdating, and ten hours remaining. The client refuses excessive validity rather than changing dates.</w:t>
            </w:r>
          </w:p>
        </w:tc>
      </w:tr>
      <w:tr>
        <w:trPr>
          <w:cantSplit/>
        </w:trPr>
        <w:tc>
          <w:tcPr>
            <w:tcW w:type="dxa" w:w="1944"/>
            <w:vAlign w:val="center"/>
            <w:tcMar>
              <w:top w:w="100" w:type="dxa"/>
              <w:left w:w="100" w:type="dxa"/>
              <w:bottom w:w="100" w:type="dxa"/>
              <w:right w:w="100" w:type="dxa"/>
            </w:tcMar>
            <w:shd w:fill="FFFFFF"/>
          </w:tcPr>
          <w:p>
            <w:pPr>
              <w:spacing w:after="40" w:before="40" w:line="252" w:lineRule="auto"/>
            </w:pPr>
            <w:r>
              <w:rPr>
                <w:sz w:val="20"/>
              </w:rPr>
              <w:t>Trust and revocation</w:t>
            </w:r>
          </w:p>
        </w:tc>
        <w:tc>
          <w:tcPr>
            <w:tcW w:type="dxa" w:w="8338"/>
            <w:vAlign w:val="center"/>
            <w:tcMar>
              <w:top w:w="100" w:type="dxa"/>
              <w:left w:w="100" w:type="dxa"/>
              <w:bottom w:w="100" w:type="dxa"/>
              <w:right w:w="100" w:type="dxa"/>
            </w:tcMar>
            <w:shd w:fill="FFFFFF"/>
          </w:tcPr>
          <w:p>
            <w:pPr>
              <w:spacing w:after="40" w:before="40" w:line="252" w:lineRule="auto"/>
            </w:pPr>
            <w:r>
              <w:rPr>
                <w:sz w:val="20"/>
              </w:rPr>
              <w:t>Matching private key, configured CA chain and current CRLs for the user certificate and enrollment agent. KDC certificate trust and revocation are checked separately.</w:t>
            </w:r>
          </w:p>
        </w:tc>
      </w:tr>
      <w:tr>
        <w:trPr>
          <w:cantSplit/>
        </w:trPr>
        <w:tc>
          <w:tcPr>
            <w:tcW w:type="dxa" w:w="1944"/>
            <w:vAlign w:val="center"/>
            <w:tcMar>
              <w:top w:w="100" w:type="dxa"/>
              <w:left w:w="100" w:type="dxa"/>
              <w:bottom w:w="100" w:type="dxa"/>
              <w:right w:w="100" w:type="dxa"/>
            </w:tcMar>
            <w:shd w:fill="F3F6FA"/>
          </w:tcPr>
          <w:p>
            <w:pPr>
              <w:spacing w:after="40" w:before="40" w:line="252" w:lineRule="auto"/>
            </w:pPr>
            <w:r>
              <w:rPr>
                <w:sz w:val="20"/>
              </w:rPr>
              <w:t>Agent profile</w:t>
            </w:r>
          </w:p>
        </w:tc>
        <w:tc>
          <w:tcPr>
            <w:tcW w:type="dxa" w:w="8338"/>
            <w:vAlign w:val="center"/>
            <w:tcMar>
              <w:top w:w="100" w:type="dxa"/>
              <w:left w:w="100" w:type="dxa"/>
              <w:bottom w:w="100" w:type="dxa"/>
              <w:right w:w="100" w:type="dxa"/>
            </w:tcMar>
            <w:shd w:fill="F3F6FA"/>
          </w:tcPr>
          <w:p>
            <w:pPr>
              <w:spacing w:after="40" w:before="40" w:line="252" w:lineRule="auto"/>
            </w:pPr>
            <w:r>
              <w:rPr>
                <w:sz w:val="20"/>
              </w:rPr>
              <w:t>Certificate Request Agent EKU 1.3.6.1.4.1.311.20.2.1, matching private key, trusted chain and current CRLs. Scope comes from CA restrictions, not that EKU.</w:t>
            </w:r>
          </w:p>
        </w:tc>
      </w:tr>
    </w:tbl>
    <w:p>
      <w:pPr>
        <w:spacing w:after="0"/>
      </w:pPr>
    </w:p>
    <w:p>
      <w:pPr>
        <w:pStyle w:val="Heading2"/>
      </w:pPr>
      <w:r>
        <w:t>Shared ticket policy</w:t>
      </w:r>
    </w:p>
    <w:p>
      <w:r>
        <w:t>tgt_seconds=36000 and renew_seconds=604800 request ten-hour initial validity and seven-day renewal in modes 1-3. Set renew_seconds to 0 to disable renewal; otherwise it must exceed tgt_seconds. The KDC decides the actual grant, including certificate/key-lifetime constraints. Strict require_full_tgt_lifetime=yes rejects shortened grants and preserves the cache; no accepts them with a warning. CRAFT never rewrites issued ticket times. AES256/AES128 are required for both session keys and outer ticket encryption.</w:t>
      </w:r>
    </w:p>
    <w:p>
      <w:pPr>
        <w:pStyle w:val="Heading2"/>
      </w:pPr>
      <w:r>
        <w:t>Generated common name</w:t>
      </w:r>
    </w:p>
    <w:p>
      <w:r>
        <w:t>certificate_cn={user} controls the mode 1 CSR CN and mode 2 local-certificate CN. Tokens are {user}, directory-resolved {upn} and {domain}; the result must be 1-64 printable ASCII characters. A CA-built subject can override the CSR. The setting does not alter mode 3's supplied certificate or the requested principal. Preserve UPN/SID binding and recipient restrictions when configuring CA subject policy.</w:t>
      </w:r>
    </w:p>
    <w:p>
      <w:hyperlink r:id="rId20">
        <w:r>
          <w:rPr>
            <w:color w:val="315DC0"/>
            <w:u w:val="single"/>
          </w:rPr>
          <w:t>Windows enrollment preparation</w:t>
        </w:r>
      </w:hyperlink>
      <w:r>
        <w:t xml:space="preserve">  |  </w:t>
      </w:r>
      <w:hyperlink r:id="rId21">
        <w:r>
          <w:rPr>
            <w:color w:val="315DC0"/>
            <w:u w:val="single"/>
          </w:rPr>
          <w:t>Configuration example</w:t>
        </w:r>
      </w:hyperlink>
    </w:p>
    <w:p>
      <w:pPr>
        <w:pStyle w:val="Heading1"/>
        <w:pageBreakBefore/>
      </w:pPr>
      <w:r>
        <w:t>Mode 2 privileged credential linking setup</w:t>
      </w:r>
    </w:p>
    <w:p>
      <w:hyperlink r:id="rId9">
        <w:r>
          <w:rPr>
            <w:color w:val="315DC0"/>
            <w:u w:val="single"/>
          </w:rPr>
          <w:t>Complete mode 2 setup</w:t>
        </w:r>
      </w:hyperlink>
      <w:r>
        <w:t xml:space="preserve">  |  </w:t>
      </w:r>
      <w:hyperlink r:id="rId22">
        <w:r>
          <w:rPr>
            <w:color w:val="315DC0"/>
            <w:u w:val="single"/>
          </w:rPr>
          <w:t>Credential-linking diagram</w:t>
        </w:r>
      </w:hyperlink>
      <w:r>
        <w:t xml:space="preserve">  |  </w:t>
      </w:r>
      <w:hyperlink r:id="rId23">
        <w:r>
          <w:rPr>
            <w:color w:val="315DC0"/>
            <w:u w:val="single"/>
          </w:rPr>
          <w:t>Directory delegation</w:t>
        </w:r>
      </w:hyperlink>
    </w:p>
    <w:p>
      <w:r>
        <w:t>Complete shared Linux and privileged installation. Provision the service principal with AES keys and install submitter.keytab as root:craft mode 0640. Use a schema exposing msDS-KeyCredentialLink and a writable KDC supporting NGC/Key Trust, as provided by Windows Server 2016 or later. A domain-functional-level label alone does not establish these capabilities. The KDC still needs a trusted PKINIT certificate and current CRLs.</w:t>
      </w:r>
    </w:p>
    <w:p>
      <w:r>
        <w:t>Pin the same writable DC in krb5.conf and kt_dc_url so its KDC sees the new key immediately. The LDAP SASL/GSSAPI bind must provide integrity and encryption at SASL SSF 128 or higher. For Key Trust alone, remove the optional pkinit_pool reference to user-certificate ca-trust.pem if unnecessary, or point it at a root-controlled bundle of KDC intermediates; retain KDC anchors and CRL checking.</w:t>
      </w:r>
    </w:p>
    <w:p>
      <w:pPr>
        <w:pStyle w:val="CodeBlock"/>
        <w:keepLines/>
      </w:pPr>
      <w:r>
        <w:t>enabled=no</w:t>
        <w:br/>
        <w:t>domain=domain.local</w:t>
        <w:br/>
        <w:t>realm=DOMAIN.LOCAL</w:t>
        <w:br/>
        <w:t>mechanism=key_trust</w:t>
        <w:br/>
        <w:t>service_principal=svc-linux-enroll@DOMAIN.LOCAL</w:t>
        <w:br/>
        <w:t>kt_dc_url=ldap://dc01.domain.local</w:t>
        <w:br/>
        <w:t>key_bits=3072</w:t>
        <w:br/>
        <w:t>tgt_seconds=36000</w:t>
        <w:br/>
        <w:t>renew_seconds=604800</w:t>
        <w:br/>
        <w:t>require_full_tgt_lifetime=yes</w:t>
        <w:br/>
        <w:t>minimum_interval_seconds=60</w:t>
      </w:r>
    </w:p>
    <w:p>
      <w:r>
        <w:t>Delegate ReadProperty/WriteProperty on only msDS-KeyCredentialLink over a reviewed OU of ordinary users or a single user. The service account can authenticate as every target in that scope. Keep privileged identities out, protect the OU membership/ACL administrators, and prevent the service account from rewriting its delegation. Preview the helper rule before applying it:</w:t>
      </w:r>
    </w:p>
    <w:p>
      <w:pPr>
        <w:pStyle w:val="CodeBlock"/>
        <w:keepLines/>
      </w:pPr>
      <w:r>
        <w:t>.\scripts\Grant-CRAFTKeyCredentialLink.ps1 -ServiceAccount svc-linux-enroll `</w:t>
        <w:br/>
        <w:t xml:space="preserve">    -TargetOU "OU=CRAFT Users,DC=domain,DC=local" -WhatIf</w:t>
      </w:r>
    </w:p>
    <w:p>
      <w:r>
        <w:t>CRAFT generates a fresh RSA key and locally issued certificate. The linked key authorizes PKINIT without user-certificate CA enrollment, CES, an agent or a template. MIT Kerberos handles freshness tokens; validate against the actual KDC policy. Review the temporary issuer trust scope in the linked security guide.</w:t>
      </w:r>
    </w:p>
    <w:p>
      <w:r>
        <w:t>An independent process adds and removes CRAFT's exact value while preserving existing keys. Successful acquisition requires removal before cache publication. Cleanup also runs after acquisition failure or worker termination and retries uncertain directory outcomes. A continuing directory outage or host failure can leave a usable key. Failed cleanup blocks publication and reports a CRITICAL AUTHPRIV event identifying the object and worker when cleanup can run; inspect and remove only confirmed residual values, retaining legitimate keys.</w:t>
      </w:r>
    </w:p>
    <w:p>
      <w:r>
        <w:t>Review delegation and trust, set enabled=yes, and enable the setuid launcher. Test with both home PEM files absent. Verify the returned caller principal, attribute cleanup, existing-key preservation and directory refusal for out-of-scope accounts; repeat after revoking the delegation.</w:t>
      </w:r>
    </w:p>
    <w:p>
      <w:hyperlink r:id="rId24">
        <w:r>
          <w:rPr>
            <w:color w:val="315DC0"/>
            <w:u w:val="single"/>
          </w:rPr>
          <w:t>Temporary issuer trust</w:t>
        </w:r>
      </w:hyperlink>
    </w:p>
    <w:p>
      <w:pPr>
        <w:pStyle w:val="Heading1"/>
        <w:pageBreakBefore/>
      </w:pPr>
      <w:r>
        <w:t>Mode 3 unprivileged Windows exported certificate setup</w:t>
      </w:r>
    </w:p>
    <w:p>
      <w:hyperlink r:id="rId10">
        <w:r>
          <w:rPr>
            <w:color w:val="315DC0"/>
            <w:u w:val="single"/>
          </w:rPr>
          <w:t>Complete mode 3 setup</w:t>
        </w:r>
      </w:hyperlink>
      <w:r>
        <w:t xml:space="preserve">  |  </w:t>
      </w:r>
      <w:hyperlink r:id="rId25">
        <w:r>
          <w:rPr>
            <w:color w:val="315DC0"/>
            <w:u w:val="single"/>
          </w:rPr>
          <w:t>Windows export flow diagram</w:t>
        </w:r>
      </w:hyperlink>
      <w:r>
        <w:t xml:space="preserve">  |  </w:t>
      </w:r>
      <w:hyperlink r:id="rId26">
        <w:r>
          <w:rPr>
            <w:color w:val="315DC0"/>
            <w:u w:val="single"/>
          </w:rPr>
          <w:t>Windows helper details</w:t>
        </w:r>
      </w:hyperlink>
    </w:p>
    <w:p>
      <w:r>
        <w:t>Complete shared Linux installation with ordinary mode-0755 executables. No setuid bit, service account, caller group, service keytab, LDAP lookup, CES or /run/craft is needed for Linux acquisition. Host installation and public Kerberos/trust provisioning remain administrator tasks.</w:t>
      </w:r>
    </w:p>
    <w:p>
      <w:r>
        <w:t>On Windows, run the helper as the intended signed-in domain user without elevation. Choose the template's internal name or OID, with direct user enrollment, exportable software keys and a KDC-accepted identity/profile. Windows PowerShell and its PKI module use AD enrollment policy to select an eligible CA. No OpenSSL or enrollment-agent credential is required.</w:t>
      </w:r>
    </w:p>
    <w:p>
      <w:pPr>
        <w:pStyle w:val="CodeBlock"/>
        <w:keepLines/>
      </w:pPr>
      <w:r>
        <w:t>.\scripts\Request-CRAFT-Certificate.cmd UserLogon "C:\Users\Alice\CRAFT Certificate"</w:t>
      </w:r>
    </w:p>
    <w:p>
      <w:r>
        <w:t>Securely transfer both exported user.pem and matching unencrypted PKCS#8 user.key to Linux after the helper returns successfully. Keep its private tracking metadata on Windows. As the intended Linux user, install the pair in the NSS-resolved home; HOME and XDG overrides do not change that location:</w:t>
      </w:r>
    </w:p>
    <w:p>
      <w:pPr>
        <w:pStyle w:val="CodeBlock"/>
        <w:keepLines/>
      </w:pPr>
      <w:r>
        <w:t>mkdir -p ~/.config/craft</w:t>
        <w:br/>
        <w:t>chmod 0700 ~/.config/craft</w:t>
        <w:br/>
        <w:t>install -m 0600 /path/to/transferred/user.pem ~/.config/craft/user.pem</w:t>
        <w:br/>
        <w:t>install -m 0600 /path/to/transferred/user.key ~/.config/craft/user.key</w:t>
      </w:r>
    </w:p>
    <w:p>
      <w:r>
        <w:t>Both files must be caller-owned regular files, nonempty, at most 1 MiB and have one hard link. Symlinks are refused. The key must be unencrypted with no group/other permissions; the certificate must not be group/world-writable. The home, .config and craft directories must be caller-owned and not group/world-writable. Direct PFX loading, passphrase prompts, PKCS#11 and hardware-key backends are unsupported.</w:t>
      </w:r>
    </w:p>
    <w:p>
      <w:pPr>
        <w:pStyle w:val="CodeBlock"/>
        <w:keepLines/>
      </w:pPr>
      <w:r>
        <w:t>enabled=no</w:t>
        <w:br/>
        <w:t>domain=domain.local</w:t>
        <w:br/>
        <w:t>realm=DOMAIN.LOCAL</w:t>
        <w:br/>
        <w:t>tgt_seconds=36000</w:t>
        <w:br/>
        <w:t>renew_seconds=604800</w:t>
        <w:br/>
        <w:t>require_full_tgt_lifetime=yes</w:t>
      </w:r>
    </w:p>
    <w:p>
      <w:r>
        <w:t>Provide root-owned mode-0644 CA and KDC trust bundles with current CRLs. The user certificate must match the key, be non-CA, and have digitalSignature without certificate/CRL signing, Smart Card Logon or PKINIT Client Authentication EKU, exactly one UPN SAN, and more than 60 seconds of current validity. basicConstraints may be absent; if present, require CA:FALSE without a path length. The KDC must map it to &lt;Linux username&gt;@&lt;realm&gt;. CRAFT does not query the directory UPN or pin the enrollment template/ten-hour certificate cap in this mode.</w:t>
      </w:r>
    </w:p>
    <w:p>
      <w:r>
        <w:t>Set enabled=yes when ready. There is no mechanism=home setting: the complete PEM pair selects this path, including on privileged installations. Partial or invalid pairs fail without fallback. Repeat the Windows helper to check renewal and transfer replacements before expiry. Its default window is one calendar month; /RenewBeforeDays changes it, and /DeleteAfterExport optionally removes the Windows-store certificate. Neither the helper nor CRAFT schedules or transfers replacements automatically.</w:t>
      </w:r>
    </w:p>
    <w:p>
      <w:pPr>
        <w:pStyle w:val="Heading1"/>
        <w:pageBreakBefore/>
      </w:pPr>
      <w:r>
        <w:t>Mode 4 service tickets through constrained delegation setup</w:t>
      </w:r>
    </w:p>
    <w:p>
      <w:hyperlink r:id="rId27">
        <w:r>
          <w:rPr>
            <w:color w:val="315DC0"/>
            <w:u w:val="single"/>
          </w:rPr>
          <w:t>Complete mode 4 setup</w:t>
        </w:r>
      </w:hyperlink>
      <w:r>
        <w:t xml:space="preserve">  |  </w:t>
      </w:r>
      <w:hyperlink r:id="rId28">
        <w:r>
          <w:rPr>
            <w:color w:val="315DC0"/>
            <w:u w:val="single"/>
          </w:rPr>
          <w:t>Broker AD policy</w:t>
        </w:r>
      </w:hyperlink>
      <w:r>
        <w:t xml:space="preserve">  |  </w:t>
      </w:r>
      <w:hyperlink r:id="rId29">
        <w:r>
          <w:rPr>
            <w:color w:val="315DC0"/>
            <w:u w:val="single"/>
          </w:rPr>
          <w:t>Delegation flow</w:t>
        </w:r>
      </w:hyperlink>
    </w:p>
    <w:p>
      <w:r>
        <w:t>Use a dedicated ordinary broker account, unique SPN and AES keytab. Enable protocol transition and account-based constrained delegation to only the required services. TrustedForDelegation must remain false. Install submitter.keytab as root:craft mode 0640, and pin the realm/KDC and AES policy in root-controlled krb5.conf. No CA or LDAP setup is needed.</w:t>
      </w:r>
    </w:p>
    <w:p>
      <w:pPr>
        <w:pStyle w:val="CodeBlock"/>
        <w:keepLines/>
      </w:pPr>
      <w:r>
        <w:t>enabled=no</w:t>
        <w:br/>
        <w:t>domain=domain.local</w:t>
        <w:br/>
        <w:t>realm=DOMAIN.LOCAL</w:t>
        <w:br/>
        <w:t>mechanism=constrained_delegation</w:t>
        <w:br/>
        <w:t>service_principal=CRAFT/broker.domain.local@DOMAIN.LOCAL</w:t>
        <w:br/>
        <w:t>service_spns=cifs/files.domain.local@DOMAIN.LOCAL HTTP/portal.domain.local@DOMAIN.LOCAL</w:t>
        <w:br/>
        <w:t>service_ticket_seconds=36000</w:t>
        <w:br/>
        <w:t>minimum_interval_seconds=60</w:t>
      </w:r>
    </w:p>
    <w:p>
      <w:r>
        <w:t>service_spns accepts 1-32 exact same-realm service/host@REALM names separated by spaces. Wildcards, krbtgt, the broker principal and cross-realm targets are refused. Every target must also be authorized in the broker account msDS-AllowedToDelegateTo list. One denied target fails the entire acquisition and preserves the previous cache. Home certificates are ignored.</w:t>
      </w:r>
    </w:p>
    <w:p>
      <w:r>
        <w:t>service_ticket_seconds defaults to 36000 and accepts 60-604800 seconds. The KDC may shorten grants; CRAFT accepts shorter valid AES tickets. TGT lifetime and renewal settings do not apply. Final tickets may be forwardable/forwarded, but no TGT, broker credential, S4U2Self evidence or proxy metadata is published.</w:t>
      </w:r>
    </w:p>
    <w:p>
      <w:r>
        <w:t>The AD policy limits services, not recipient users. Restrict local callers through craft-users and protect Linux name assignment. Protect sensitive AD users against delegation. Services sharing one AD account/key are not isolated by different SPN labels. Use separate target identities where service isolation matters.</w:t>
      </w:r>
    </w:p>
    <w:p>
      <w:r>
        <w:t>Stop existing maintainers and remove the old TGT cache before switching to mode 4. After enabling acquisition, verify every cache record, real service authentication, unapproved-target and nondelegable-user denial, home-pair precedence and cache preservation. Existing credentials are not revoked by configuration changes.</w:t>
      </w:r>
    </w:p>
    <w:p>
      <w:r>
        <w:t>craft-maintain refreshes the complete service batch before its earliest expiry, through the broker rather than TGT renewal. Keep the acquisition interval below the actual refresh interval. Status reports ticket_kind=service, earliest ticket_expires and renew_until=0. Test refresh, outages and watched-job exit with short service lifetimes.</w:t>
      </w:r>
    </w:p>
    <w:p>
      <w:pPr>
        <w:pStyle w:val="Heading1"/>
        <w:pageBreakBefore/>
      </w:pPr>
      <w:r>
        <w:t>Acceptance checks and ongoing operation</w:t>
      </w:r>
    </w:p>
    <w:p>
      <w:r>
        <w:t>Run the offline checks, then validate the chosen installed mode against disposable identities in an isolated AD lab. Offline fixtures or a successful MIT KDC trial do not establish AD certificate mapping, CES interoperability, the directory delegation or the installed setuid boundary.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410"/>
      </w:tblGrid>
      <w:tr>
        <w:trPr>
          <w:tblHeader/>
          <w:cantSplit/>
        </w:trPr>
        <w:tc>
          <w:tcPr>
            <w:tcW w:type="dxa" w:w="1872"/>
            <w:vAlign w:val="center"/>
            <w:tcMar>
              <w:top w:w="100" w:type="dxa"/>
              <w:left w:w="100" w:type="dxa"/>
              <w:bottom w:w="100" w:type="dxa"/>
              <w:right w:w="100" w:type="dxa"/>
            </w:tcMar>
            <w:shd w:fill="18334A"/>
          </w:tcPr>
          <w:p>
            <w:pPr>
              <w:spacing w:after="40" w:before="40" w:line="252" w:lineRule="auto"/>
            </w:pPr>
            <w:r>
              <w:rPr>
                <w:b/>
                <w:color w:val="FFFFFF"/>
                <w:sz w:val="20"/>
              </w:rPr>
              <w:t>Scope</w:t>
            </w:r>
          </w:p>
        </w:tc>
        <w:tc>
          <w:tcPr>
            <w:tcW w:type="dxa" w:w="8410"/>
            <w:vAlign w:val="center"/>
            <w:tcMar>
              <w:top w:w="100" w:type="dxa"/>
              <w:left w:w="100" w:type="dxa"/>
              <w:bottom w:w="100" w:type="dxa"/>
              <w:right w:w="100" w:type="dxa"/>
            </w:tcMar>
            <w:shd w:fill="18334A"/>
          </w:tcPr>
          <w:p>
            <w:pPr>
              <w:spacing w:after="40" w:before="40" w:line="252" w:lineRule="auto"/>
            </w:pPr>
            <w:r>
              <w:rPr>
                <w:b/>
                <w:color w:val="FFFFFF"/>
                <w:sz w:val="20"/>
              </w:rPr>
              <w:t>Required observations</w:t>
            </w:r>
          </w:p>
        </w:tc>
      </w:tr>
      <w:tr>
        <w:trPr>
          <w:cantSplit/>
        </w:trPr>
        <w:tc>
          <w:tcPr>
            <w:tcW w:type="dxa" w:w="1872"/>
            <w:vAlign w:val="center"/>
            <w:tcMar>
              <w:top w:w="100" w:type="dxa"/>
              <w:left w:w="100" w:type="dxa"/>
              <w:bottom w:w="100" w:type="dxa"/>
              <w:right w:w="100" w:type="dxa"/>
            </w:tcMar>
            <w:shd w:fill="F3F6FA"/>
          </w:tcPr>
          <w:p>
            <w:pPr>
              <w:spacing w:after="40" w:before="40" w:line="252" w:lineRule="auto"/>
            </w:pPr>
            <w:r>
              <w:rPr>
                <w:sz w:val="20"/>
              </w:rPr>
              <w:t>Every mode</w:t>
            </w:r>
          </w:p>
        </w:tc>
        <w:tc>
          <w:tcPr>
            <w:tcW w:type="dxa" w:w="8410"/>
            <w:vAlign w:val="center"/>
            <w:tcMar>
              <w:top w:w="100" w:type="dxa"/>
              <w:left w:w="100" w:type="dxa"/>
              <w:bottom w:w="100" w:type="dxa"/>
              <w:right w:w="100" w:type="dxa"/>
            </w:tcMar>
            <w:shd w:fill="F3F6FA"/>
          </w:tcPr>
          <w:p>
            <w:pPr>
              <w:spacing w:after="40" w:before="40" w:line="252" w:lineRule="auto"/>
            </w:pPr>
            <w:r>
              <w:rPr>
                <w:sz w:val="20"/>
              </w:rPr>
              <w:t>Run as the intended non-root user without sudo. Confirm Linux-name principal, caller-owned mode-0600 cache, mode-appropriate flags and lifetimes, AES session/ticket encryption and actual lifetimes. Test a real Kerberos-enabled service.</w:t>
            </w:r>
          </w:p>
        </w:tc>
      </w:tr>
      <w:tr>
        <w:trPr>
          <w:cantSplit/>
        </w:trPr>
        <w:tc>
          <w:tcPr>
            <w:tcW w:type="dxa" w:w="1872"/>
            <w:vAlign w:val="center"/>
            <w:tcMar>
              <w:top w:w="100" w:type="dxa"/>
              <w:left w:w="100" w:type="dxa"/>
              <w:bottom w:w="100" w:type="dxa"/>
              <w:right w:w="100" w:type="dxa"/>
            </w:tcMar>
            <w:shd w:fill="FFFFFF"/>
          </w:tcPr>
          <w:p>
            <w:pPr>
              <w:spacing w:after="40" w:before="40" w:line="252" w:lineRule="auto"/>
            </w:pPr>
            <w:r>
              <w:rPr>
                <w:sz w:val="20"/>
              </w:rPr>
              <w:t>Selection and failure</w:t>
            </w:r>
          </w:p>
        </w:tc>
        <w:tc>
          <w:tcPr>
            <w:tcW w:type="dxa" w:w="8410"/>
            <w:vAlign w:val="center"/>
            <w:tcMar>
              <w:top w:w="100" w:type="dxa"/>
              <w:left w:w="100" w:type="dxa"/>
              <w:bottom w:w="100" w:type="dxa"/>
              <w:right w:w="100" w:type="dxa"/>
            </w:tcMar>
            <w:shd w:fill="FFFFFF"/>
          </w:tcPr>
          <w:p>
            <w:pPr>
              <w:spacing w:after="40" w:before="40" w:line="252" w:lineRule="auto"/>
            </w:pPr>
            <w:r>
              <w:rPr>
                <w:sz w:val="20"/>
              </w:rPr>
              <w:t>Mode 4 ignores home certificates. In modes 1-3, a complete home pair takes priority. Invalid files must preserve the cache without either privileged mechanism. With both absent, use only the configured mechanism. Test wrong mapping, stale required CRLs, key mismatch, KDC outage, RC4 and shortened strict-mode grants.</w:t>
            </w:r>
          </w:p>
        </w:tc>
      </w:tr>
      <w:tr>
        <w:trPr>
          <w:cantSplit/>
        </w:trPr>
        <w:tc>
          <w:tcPr>
            <w:tcW w:type="dxa" w:w="1872"/>
            <w:vAlign w:val="center"/>
            <w:tcMar>
              <w:top w:w="100" w:type="dxa"/>
              <w:left w:w="100" w:type="dxa"/>
              <w:bottom w:w="100" w:type="dxa"/>
              <w:right w:w="100" w:type="dxa"/>
            </w:tcMar>
            <w:shd w:fill="F3F6FA"/>
          </w:tcPr>
          <w:p>
            <w:pPr>
              <w:spacing w:after="40" w:before="40" w:line="252" w:lineRule="auto"/>
            </w:pPr>
            <w:r>
              <w:rPr>
                <w:sz w:val="20"/>
              </w:rPr>
              <w:t>1  Enrollment</w:t>
            </w:r>
          </w:p>
        </w:tc>
        <w:tc>
          <w:tcPr>
            <w:tcW w:type="dxa" w:w="8410"/>
            <w:vAlign w:val="center"/>
            <w:tcMar>
              <w:top w:w="100" w:type="dxa"/>
              <w:left w:w="100" w:type="dxa"/>
              <w:bottom w:w="100" w:type="dxa"/>
              <w:right w:w="100" w:type="dxa"/>
            </w:tcMar>
            <w:shd w:fill="F3F6FA"/>
          </w:tcPr>
          <w:p>
            <w:pPr>
              <w:spacing w:after="40" w:before="40" w:line="252" w:lineRule="auto"/>
            </w:pPr>
            <w:r>
              <w:rPr>
                <w:sz w:val="20"/>
              </w:rPr>
              <w:t>Inspect UPN, CA SID mapping, template, three EKUs, matching key, CN behavior, chain/CRLs and total validity. Prove CA denial for unauthorized agents/templates/recipients and correlate CA/CES audit identity.</w:t>
            </w:r>
          </w:p>
        </w:tc>
      </w:tr>
      <w:tr>
        <w:trPr>
          <w:cantSplit/>
        </w:trPr>
        <w:tc>
          <w:tcPr>
            <w:tcW w:type="dxa" w:w="1872"/>
            <w:vAlign w:val="center"/>
            <w:tcMar>
              <w:top w:w="100" w:type="dxa"/>
              <w:left w:w="100" w:type="dxa"/>
              <w:bottom w:w="100" w:type="dxa"/>
              <w:right w:w="100" w:type="dxa"/>
            </w:tcMar>
            <w:shd w:fill="FFFFFF"/>
          </w:tcPr>
          <w:p>
            <w:pPr>
              <w:spacing w:after="40" w:before="40" w:line="252" w:lineRule="auto"/>
            </w:pPr>
            <w:r>
              <w:rPr>
                <w:sz w:val="20"/>
              </w:rPr>
              <w:t>2  Credential linking</w:t>
            </w:r>
          </w:p>
        </w:tc>
        <w:tc>
          <w:tcPr>
            <w:tcW w:type="dxa" w:w="8410"/>
            <w:vAlign w:val="center"/>
            <w:tcMar>
              <w:top w:w="100" w:type="dxa"/>
              <w:left w:w="100" w:type="dxa"/>
              <w:bottom w:w="100" w:type="dxa"/>
              <w:right w:w="100" w:type="dxa"/>
            </w:tcMar>
            <w:shd w:fill="FFFFFF"/>
          </w:tcPr>
          <w:p>
            <w:pPr>
              <w:spacing w:after="40" w:before="40" w:line="252" w:lineRule="auto"/>
            </w:pPr>
            <w:r>
              <w:rPr>
                <w:sz w:val="20"/>
              </w:rPr>
              <w:t>Prove scoped attribute rights and denial outside the scope. Inspect the added/removed value and existing keys before and after success, failed PKINIT and interruption. Force cleanup failure, verify refusal to publish and remove the residual key. Test revocation of delegation and KDC freshness interoperability.</w:t>
            </w:r>
          </w:p>
        </w:tc>
      </w:tr>
      <w:tr>
        <w:trPr>
          <w:cantSplit/>
        </w:trPr>
        <w:tc>
          <w:tcPr>
            <w:tcW w:type="dxa" w:w="1872"/>
            <w:vAlign w:val="center"/>
            <w:tcMar>
              <w:top w:w="100" w:type="dxa"/>
              <w:left w:w="100" w:type="dxa"/>
              <w:bottom w:w="100" w:type="dxa"/>
              <w:right w:w="100" w:type="dxa"/>
            </w:tcMar>
            <w:shd w:fill="F3F6FA"/>
          </w:tcPr>
          <w:p>
            <w:pPr>
              <w:spacing w:after="40" w:before="40" w:line="252" w:lineRule="auto"/>
            </w:pPr>
            <w:r>
              <w:rPr>
                <w:sz w:val="20"/>
              </w:rPr>
              <w:t>3  Windows export</w:t>
            </w:r>
          </w:p>
        </w:tc>
        <w:tc>
          <w:tcPr>
            <w:tcW w:type="dxa" w:w="8410"/>
            <w:vAlign w:val="center"/>
            <w:tcMar>
              <w:top w:w="100" w:type="dxa"/>
              <w:left w:w="100" w:type="dxa"/>
              <w:bottom w:w="100" w:type="dxa"/>
              <w:right w:w="100" w:type="dxa"/>
            </w:tcMar>
            <w:shd w:fill="F3F6FA"/>
          </w:tcPr>
          <w:p>
            <w:pPr>
              <w:spacing w:after="40" w:before="40" w:line="252" w:lineRule="auto"/>
            </w:pPr>
            <w:r>
              <w:rPr>
                <w:sz w:val="20"/>
              </w:rPr>
              <w:t>Verify ordinary Linux execution without service credentials or runtime directory, safe Windows PEM export/transfer, KDC mapping, certificate replacement and inherited no_new_privs. Wrong-account and unsafe/partial pairs must preserve the cache.</w:t>
            </w:r>
          </w:p>
        </w:tc>
      </w:tr>
    </w:tbl>
    <w:p>
      <w:pPr>
        <w:spacing w:after="0"/>
      </w:pPr>
    </w:p>
    <w:p>
      <w:pPr>
        <w:pStyle w:val="CodeBlock"/>
        <w:keepLines/>
      </w:pPr>
      <w:r>
        <w:t>cache=$(/usr/local/bin/craft) || exit "$?"</w:t>
        <w:br/>
        <w:t>export KRB5CCNAME="$cache"</w:t>
        <w:br/>
        <w:t>klist -ef -c "$KRB5CCNAME"</w:t>
      </w:r>
    </w:p>
    <w:p>
      <w:pPr>
        <w:pStyle w:val="Heading2"/>
      </w:pPr>
      <w:r>
        <w:t>Long running jobs</w:t>
      </w:r>
    </w:p>
    <w:p>
      <w:pPr>
        <w:pStyle w:val="CodeBlock"/>
        <w:keepLines/>
      </w:pPr>
      <w:r>
        <w:t>job_pid=$$</w:t>
        <w:br/>
        <w:t>cache=$(/usr/local/bin/craft-maintain --watch-pid "$job_pid") || exit "$?"</w:t>
        <w:br/>
        <w:t>export KRB5CCNAME="$cache"</w:t>
      </w:r>
    </w:p>
    <w:p>
      <w:r>
        <w:t>The ordinary maintainer needs Linux with /proc and system /etc/krb5.conf matching the pinned realm/KDC and AES policy. It monitors the job through a pidfd when available, or /proc on older kernels such as RHEL 8. The scheduler must retain detached processes. Renewal uses the cache alone; fresh authentication applies the same configured mode selection. Keep CRLs, service credentials and supplied certificates current. Status/log failures preserve the cache and retry; later failures do not terminate the job.</w:t>
      </w:r>
    </w:p>
    <w:p>
      <w:r>
        <w:t>Test renewal, fresh authentication near the absolute renewal deadline, outages, concurrent jobs and termination with the watched PID under the actual scheduler. Applications must reload refreshed credentials. Cache files remain after exit, and certificate expiry or directory-key removal does not revoke already-issued tickets.</w:t>
      </w:r>
    </w:p>
    <w:p>
      <w:hyperlink r:id="rId30">
        <w:r>
          <w:rPr>
            <w:color w:val="315DC0"/>
            <w:u w:val="single"/>
          </w:rPr>
          <w:t>Full acceptance cases</w:t>
        </w:r>
      </w:hyperlink>
      <w:r>
        <w:t xml:space="preserve">  |  </w:t>
      </w:r>
      <w:hyperlink r:id="rId31">
        <w:r>
          <w:rPr>
            <w:color w:val="315DC0"/>
            <w:u w:val="single"/>
          </w:rPr>
          <w:t>Maintenance setup and status</w:t>
        </w:r>
      </w:hyperlink>
    </w:p>
    <w:p>
      <w:pPr>
        <w:pStyle w:val="Heading1"/>
        <w:pageBreakBefore/>
      </w:pPr>
      <w:r>
        <w:t>Audit maintenance and operational disable</w:t>
      </w:r>
    </w:p>
    <w:p>
      <w:r>
        <w:t>Read AUTHPRIV records from the host logging service with administrator access. The worker request= field matches the launcher PID. Key Trust records identify the object and worker; correlate them with directory change event 5136 and KDC event 4768. Configure the required directory SACL and CA audit categories. Do not place private keys, tickets or export passwords in logs.</w:t>
      </w:r>
    </w:p>
    <w:p>
      <w:pPr>
        <w:pStyle w:val="CodeBlock"/>
        <w:keepLines/>
      </w:pPr>
      <w:r>
        <w:t>sudo journalctl -t craft -t craft-worker -t craft-maintain</w:t>
      </w:r>
    </w:p>
    <w:p>
      <w:r>
        <w:t>Every mode requires /dev/log. Failure to submit an audit record blocks startup, credential release or renewal publication. The final launcher completion record follows cache replacement, so a logging failure there can be reported after the cache changed. Local submission does not establish durable retention or forwarding. Install the example host audit rules only after adjusting paths, architecture and rules for files actually present.</w:t>
      </w:r>
    </w:p>
    <w:p>
      <w:r>
        <w:t>For failures, inspect the log identity/PID named in the caller notice. Check clocks, PKINIT/SASL plugins, principal and SPNs, mapping, current CRLs, certificate profiles and effective CA/directory authorization. Diagnose a rejection without weakening TLS verification, required CRLs or mapping policy.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06"/>
      </w:tblGrid>
      <w:tr>
        <w:trPr>
          <w:tblHeader/>
          <w:cantSplit/>
        </w:trPr>
        <w:tc>
          <w:tcPr>
            <w:tcW w:type="dxa" w:w="2376"/>
            <w:vAlign w:val="center"/>
            <w:tcMar>
              <w:top w:w="100" w:type="dxa"/>
              <w:left w:w="100" w:type="dxa"/>
              <w:bottom w:w="100" w:type="dxa"/>
              <w:right w:w="100" w:type="dxa"/>
            </w:tcMar>
            <w:shd w:fill="18334A"/>
          </w:tcPr>
          <w:p>
            <w:pPr>
              <w:spacing w:after="40" w:before="40" w:line="252" w:lineRule="auto"/>
            </w:pPr>
            <w:r>
              <w:rPr>
                <w:b/>
                <w:color w:val="FFFFFF"/>
                <w:sz w:val="20"/>
              </w:rPr>
              <w:t>Operation</w:t>
            </w:r>
          </w:p>
        </w:tc>
        <w:tc>
          <w:tcPr>
            <w:tcW w:type="dxa" w:w="7906"/>
            <w:vAlign w:val="center"/>
            <w:tcMar>
              <w:top w:w="100" w:type="dxa"/>
              <w:left w:w="100" w:type="dxa"/>
              <w:bottom w:w="100" w:type="dxa"/>
              <w:right w:w="100" w:type="dxa"/>
            </w:tcMar>
            <w:shd w:fill="18334A"/>
          </w:tcPr>
          <w:p>
            <w:pPr>
              <w:spacing w:after="40" w:before="40" w:line="252" w:lineRule="auto"/>
            </w:pPr>
            <w:r>
              <w:rPr>
                <w:b/>
                <w:color w:val="FFFFFF"/>
                <w:sz w:val="20"/>
              </w:rPr>
              <w:t>Administrator action</w:t>
            </w:r>
          </w:p>
        </w:tc>
      </w:tr>
      <w:tr>
        <w:trPr>
          <w:cantSplit/>
        </w:trPr>
        <w:tc>
          <w:tcPr>
            <w:tcW w:type="dxa" w:w="2376"/>
            <w:vAlign w:val="center"/>
            <w:tcMar>
              <w:top w:w="100" w:type="dxa"/>
              <w:left w:w="100" w:type="dxa"/>
              <w:bottom w:w="100" w:type="dxa"/>
              <w:right w:w="100" w:type="dxa"/>
            </w:tcMar>
            <w:shd w:fill="F3F6FA"/>
          </w:tcPr>
          <w:p>
            <w:pPr>
              <w:spacing w:after="40" w:before="40" w:line="252" w:lineRule="auto"/>
            </w:pPr>
            <w:r>
              <w:rPr>
                <w:sz w:val="20"/>
              </w:rPr>
              <w:t>Keep authentication available</w:t>
            </w:r>
          </w:p>
        </w:tc>
        <w:tc>
          <w:tcPr>
            <w:tcW w:type="dxa" w:w="7906"/>
            <w:vAlign w:val="center"/>
            <w:tcMar>
              <w:top w:w="100" w:type="dxa"/>
              <w:left w:w="100" w:type="dxa"/>
              <w:bottom w:w="100" w:type="dxa"/>
              <w:right w:w="100" w:type="dxa"/>
            </w:tcMar>
            <w:shd w:fill="F3F6FA"/>
          </w:tcPr>
          <w:p>
            <w:pPr>
              <w:spacing w:after="40" w:before="40" w:line="252" w:lineRule="auto"/>
            </w:pPr>
            <w:r>
              <w:rPr>
                <w:sz w:val="20"/>
              </w:rPr>
              <w:t>Refresh CA/KDC and optional CES CRLs before next-update; rotate service credentials; replace and securely transfer supplied certificates before expiry.</w:t>
            </w:r>
          </w:p>
        </w:tc>
      </w:tr>
      <w:tr>
        <w:trPr>
          <w:cantSplit/>
        </w:trPr>
        <w:tc>
          <w:tcPr>
            <w:tcW w:type="dxa" w:w="2376"/>
            <w:vAlign w:val="center"/>
            <w:tcMar>
              <w:top w:w="100" w:type="dxa"/>
              <w:left w:w="100" w:type="dxa"/>
              <w:bottom w:w="100" w:type="dxa"/>
              <w:right w:w="100" w:type="dxa"/>
            </w:tcMar>
            <w:shd w:fill="FFFFFF"/>
          </w:tcPr>
          <w:p>
            <w:pPr>
              <w:spacing w:after="40" w:before="40" w:line="252" w:lineRule="auto"/>
            </w:pPr>
            <w:r>
              <w:rPr>
                <w:sz w:val="20"/>
              </w:rPr>
              <w:t>Stop fresh acquisition</w:t>
            </w:r>
          </w:p>
        </w:tc>
        <w:tc>
          <w:tcPr>
            <w:tcW w:type="dxa" w:w="7906"/>
            <w:vAlign w:val="center"/>
            <w:tcMar>
              <w:top w:w="100" w:type="dxa"/>
              <w:left w:w="100" w:type="dxa"/>
              <w:bottom w:w="100" w:type="dxa"/>
              <w:right w:w="100" w:type="dxa"/>
            </w:tcMar>
            <w:shd w:fill="FFFFFF"/>
          </w:tcPr>
          <w:p>
            <w:pPr>
              <w:spacing w:after="40" w:before="40" w:line="252" w:lineRule="auto"/>
            </w:pPr>
            <w:r>
              <w:rPr>
                <w:sz w:val="20"/>
              </w:rPr>
              <w:t>Set enabled=no or remove launcher execute access. Removing only setuid stops modes 1, 2 and 4; a supplied pair remains usable only in certificate modes.</w:t>
            </w:r>
          </w:p>
        </w:tc>
      </w:tr>
      <w:tr>
        <w:trPr>
          <w:cantSplit/>
        </w:trPr>
        <w:tc>
          <w:tcPr>
            <w:tcW w:type="dxa" w:w="2376"/>
            <w:vAlign w:val="center"/>
            <w:tcMar>
              <w:top w:w="100" w:type="dxa"/>
              <w:left w:w="100" w:type="dxa"/>
              <w:bottom w:w="100" w:type="dxa"/>
              <w:right w:w="100" w:type="dxa"/>
            </w:tcMar>
            <w:shd w:fill="F3F6FA"/>
          </w:tcPr>
          <w:p>
            <w:pPr>
              <w:spacing w:after="40" w:before="40" w:line="252" w:lineRule="auto"/>
            </w:pPr>
            <w:r>
              <w:rPr>
                <w:sz w:val="20"/>
              </w:rPr>
              <w:t>Stop ticket renewal</w:t>
            </w:r>
          </w:p>
        </w:tc>
        <w:tc>
          <w:tcPr>
            <w:tcW w:type="dxa" w:w="7906"/>
            <w:vAlign w:val="center"/>
            <w:tcMar>
              <w:top w:w="100" w:type="dxa"/>
              <w:left w:w="100" w:type="dxa"/>
              <w:bottom w:w="100" w:type="dxa"/>
              <w:right w:w="100" w:type="dxa"/>
            </w:tcMar>
            <w:shd w:fill="F3F6FA"/>
          </w:tcPr>
          <w:p>
            <w:pPr>
              <w:spacing w:after="40" w:before="40" w:line="252" w:lineRule="auto"/>
            </w:pPr>
            <w:r>
              <w:rPr>
                <w:sz w:val="20"/>
              </w:rPr>
              <w:t>Inspect job status and send SIGTERM to each recorded maintainer_pid. Acquisition disable alone does not stop cache-only renewal. Cache files remain.</w:t>
            </w:r>
          </w:p>
        </w:tc>
      </w:tr>
      <w:tr>
        <w:trPr>
          <w:cantSplit/>
        </w:trPr>
        <w:tc>
          <w:tcPr>
            <w:tcW w:type="dxa" w:w="2376"/>
            <w:vAlign w:val="center"/>
            <w:tcMar>
              <w:top w:w="100" w:type="dxa"/>
              <w:left w:w="100" w:type="dxa"/>
              <w:bottom w:w="100" w:type="dxa"/>
              <w:right w:w="100" w:type="dxa"/>
            </w:tcMar>
            <w:shd w:fill="FFFFFF"/>
          </w:tcPr>
          <w:p>
            <w:pPr>
              <w:spacing w:after="40" w:before="40" w:line="252" w:lineRule="auto"/>
            </w:pPr>
            <w:r>
              <w:rPr>
                <w:sz w:val="20"/>
              </w:rPr>
              <w:t>Withdraw authentication authority</w:t>
            </w:r>
          </w:p>
        </w:tc>
        <w:tc>
          <w:tcPr>
            <w:tcW w:type="dxa" w:w="7906"/>
            <w:vAlign w:val="center"/>
            <w:tcMar>
              <w:top w:w="100" w:type="dxa"/>
              <w:left w:w="100" w:type="dxa"/>
              <w:bottom w:w="100" w:type="dxa"/>
              <w:right w:w="100" w:type="dxa"/>
            </w:tcMar>
            <w:shd w:fill="FFFFFF"/>
          </w:tcPr>
          <w:p>
            <w:pPr>
              <w:spacing w:after="40" w:before="40" w:line="252" w:lineRule="auto"/>
            </w:pPr>
            <w:r>
              <w:rPr>
                <w:sz w:val="20"/>
              </w:rPr>
              <w:t>Revoke the CA agent/recipient authorization or AD delegation, rotate compromised credentials and remove confirmed residual Key Trust values. Review issued certificates, tickets and service sessions through incident response.</w:t>
            </w:r>
          </w:p>
        </w:tc>
      </w:tr>
    </w:tbl>
    <w:p>
      <w:pPr>
        <w:spacing w:after="0"/>
      </w:pPr>
    </w:p>
    <w:p>
      <w:r>
        <w:t>Assign owners for credential/CRL lifecycle, recipient/delegation review and logs. Repeat acceptance after policy or credential changes. Certificate/key removal, cache deletion and maintenance stop do not revoke already-issued tickets.</w:t>
      </w:r>
    </w:p>
    <w:p>
      <w:r>
        <w:t>Mode 4 refreshes all service tickets through the broker before the earliest expiry. It has no cache-only renewal and needs the broker and KDC for each refresh. Status identifies ticket_kind and ticket_expires. Removing broker delegation blocks fresh acquisition but does not revoke already-issued tickets.</w:t>
      </w:r>
    </w:p>
    <w:p>
      <w:hyperlink r:id="rId32">
        <w:r>
          <w:rPr>
            <w:color w:val="315DC0"/>
            <w:u w:val="single"/>
          </w:rPr>
          <w:t>Audit and troubleshooting</w:t>
        </w:r>
      </w:hyperlink>
      <w:r>
        <w:t xml:space="preserve">  |  </w:t>
      </w:r>
      <w:hyperlink r:id="rId33">
        <w:r>
          <w:rPr>
            <w:color w:val="315DC0"/>
            <w:u w:val="single"/>
          </w:rPr>
          <w:t>Host audit rules</w:t>
        </w:r>
      </w:hyperlink>
      <w:r>
        <w:t xml:space="preserve">  |  </w:t>
      </w:r>
      <w:hyperlink r:id="rId34">
        <w:r>
          <w:rPr>
            <w:color w:val="315DC0"/>
            <w:u w:val="single"/>
          </w:rPr>
          <w:t>Operational disable</w:t>
        </w:r>
      </w:hyperlink>
    </w:p>
    <w:p>
      <w:pPr>
        <w:pStyle w:val="SmallNote"/>
      </w:pPr>
      <w:r>
        <w:t xml:space="preserve">Source code, scripts, configuration examples and documentation are licensed under GNU GPL version 3 only (GPL-3.0-only). See </w:t>
      </w:r>
      <w:hyperlink r:id="rId35">
        <w:r>
          <w:rPr>
            <w:color w:val="315DC0"/>
            <w:u w:val="single"/>
          </w:rPr>
          <w:t>LICENSE</w:t>
        </w:r>
      </w:hyperlink>
      <w:r>
        <w:t xml:space="preserve"> for the terms and warranty disclaimer.</w:t>
      </w:r>
    </w:p>
    <w:sectPr w:rsidR="001E4921" w:rsidSect="00034616">
      <w:headerReference w:type="default" r:id="rId16"/>
      <w:footerReference w:type="default" r:id="rId17"/>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01C6" w:rsidRDefault="001601C6">
      <w:pPr>
        <w:spacing w:after="0" w:line="240" w:lineRule="auto"/>
      </w:pPr>
      <w:r>
        <w:separator/>
      </w:r>
    </w:p>
  </w:endnote>
  <w:endnote w:type="continuationSeparator" w:id="0">
    <w:p w:rsidR="001601C6" w:rsidRDefault="00160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01C6" w:rsidRDefault="001601C6">
      <w:pPr>
        <w:spacing w:after="0" w:line="240" w:lineRule="auto"/>
      </w:pPr>
      <w:r>
        <w:separator/>
      </w:r>
    </w:p>
  </w:footnote>
  <w:footnote w:type="continuationSeparator" w:id="0">
    <w:p w:rsidR="001601C6" w:rsidRDefault="00160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mallNote"/>
    </w:pPr>
    <w:r>
      <w:rPr>
        <w:color w:val="000000"/>
        <w:sz w:val="18"/>
      </w:rPr>
      <w:t>CRAFT | CRAFT Configuration and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39805">
    <w:abstractNumId w:val="8"/>
  </w:num>
  <w:num w:numId="2" w16cid:durableId="1761681788">
    <w:abstractNumId w:val="6"/>
  </w:num>
  <w:num w:numId="3" w16cid:durableId="522133427">
    <w:abstractNumId w:val="5"/>
  </w:num>
  <w:num w:numId="4" w16cid:durableId="1288462947">
    <w:abstractNumId w:val="4"/>
  </w:num>
  <w:num w:numId="5" w16cid:durableId="553351103">
    <w:abstractNumId w:val="7"/>
  </w:num>
  <w:num w:numId="6" w16cid:durableId="1197742585">
    <w:abstractNumId w:val="3"/>
  </w:num>
  <w:num w:numId="7" w16cid:durableId="1928996443">
    <w:abstractNumId w:val="2"/>
  </w:num>
  <w:num w:numId="8" w16cid:durableId="955870726">
    <w:abstractNumId w:val="1"/>
  </w:num>
  <w:num w:numId="9" w16cid:durableId="31202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6BF"/>
    <w:rsid w:val="0006063C"/>
    <w:rsid w:val="0015074B"/>
    <w:rsid w:val="001601C6"/>
    <w:rsid w:val="001E4921"/>
    <w:rsid w:val="0029639D"/>
    <w:rsid w:val="00326F90"/>
    <w:rsid w:val="00476CB6"/>
    <w:rsid w:val="005060B4"/>
    <w:rsid w:val="008049C4"/>
    <w:rsid w:val="009A5D49"/>
    <w:rsid w:val="00AA1D8D"/>
    <w:rsid w:val="00B47730"/>
    <w:rsid w:val="00CA0380"/>
    <w:rsid w:val="00CB0664"/>
    <w:rsid w:val="00D7487D"/>
    <w:rsid w:val="00E36A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66A2AF5-3CCF-4E91-AC7A-5E6A9B0B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line="240" w:lineRule="auto" w:after="1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line="259" w:lineRule="auto"/>
    </w:pPr>
    <w:rPr>
      <w:rFonts w:ascii="Consolas" w:eastAsia="Consolas" w:hAnsi="Consolas" w:cs="Consolas"/>
      <w:color w:val="000000"/>
      <w:sz w:val="18"/>
    </w:rPr>
  </w:style>
  <w:style w:type="paragraph" w:customStyle="1" w:styleId="SmallNote">
    <w:name w:val="Small Note"/>
    <w:pPr>
      <w:spacing w:after="60"/>
    </w:pPr>
    <w:rPr>
      <w:rFonts w:ascii="Calibri" w:hAnsi="Calibri"/>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hyperlink" Target="https://github.com/NoMoreFood/craft/blob/main/source/README.md#mode-1-setup-privileged-certificate-enrollment" TargetMode="External"/><Relationship Id="rId9" Type="http://schemas.openxmlformats.org/officeDocument/2006/relationships/hyperlink" Target="https://github.com/NoMoreFood/craft/blob/main/source/README.md#mode-2-setup-privileged-credential-linking" TargetMode="External"/><Relationship Id="rId10" Type="http://schemas.openxmlformats.org/officeDocument/2006/relationships/hyperlink" Target="https://github.com/NoMoreFood/craft/blob/main/source/README.md#mode-3-setup-unprivileged-windows-exported-certificate" TargetMode="External"/><Relationship Id="rId11" Type="http://schemas.openxmlformats.org/officeDocument/2006/relationships/hyperlink" Target="https://github.com/NoMoreFood/craft/blob/main/source/README.md#shared-linux-installation" TargetMode="External"/><Relationship Id="rId12" Type="http://schemas.openxmlformats.org/officeDocument/2006/relationships/hyperlink" Target="https://github.com/NoMoreFood/craft/blob/main/source/README.md#shared-privileged-installation" TargetMode="External"/><Relationship Id="rId13" Type="http://schemas.openxmlformats.org/officeDocument/2006/relationships/hyperlink" Target="https://github.com/NoMoreFood/craft/blob/main/source/README.md#configuration-reference" TargetMode="External"/><Relationship Id="rId14" Type="http://schemas.openxmlformats.org/officeDocument/2006/relationships/hyperlink" Target="https://github.com/NoMoreFood/craft/blob/main/docs/diagrams/02-enrollment-sequence.svg" TargetMode="External"/><Relationship Id="rId15" Type="http://schemas.openxmlformats.org/officeDocument/2006/relationships/hyperlink" Target="https://github.com/NoMoreFood/craft/blob/main/docs/03-Enrollment-Agent-Restrictions.md" TargetMode="External"/><Relationship Id="rId20" Type="http://schemas.openxmlformats.org/officeDocument/2006/relationships/hyperlink" Target="https://github.com/NoMoreFood/craft/blob/main/source/README.md#assumptions-and-windows-preparation" TargetMode="External"/><Relationship Id="rId21" Type="http://schemas.openxmlformats.org/officeDocument/2006/relationships/hyperlink" Target="https://github.com/NoMoreFood/craft/blob/main/source/config/config.example" TargetMode="External"/><Relationship Id="rId22" Type="http://schemas.openxmlformats.org/officeDocument/2006/relationships/hyperlink" Target="https://github.com/NoMoreFood/craft/blob/main/docs/diagrams/03-credential-linking-sequence.svg" TargetMode="External"/><Relationship Id="rId23" Type="http://schemas.openxmlformats.org/officeDocument/2006/relationships/hyperlink" Target="https://github.com/NoMoreFood/craft/blob/main/docs/04-Key-Credential-Link-Delegation.md" TargetMode="External"/><Relationship Id="rId24" Type="http://schemas.openxmlformats.org/officeDocument/2006/relationships/hyperlink" Target="https://github.com/NoMoreFood/craft/blob/main/source/SECURITY.md#key-trust-certificate-handling" TargetMode="External"/><Relationship Id="rId25" Type="http://schemas.openxmlformats.org/officeDocument/2006/relationships/hyperlink" Target="https://github.com/NoMoreFood/craft/blob/main/docs/diagrams/04-windows-exported-certificate.svg" TargetMode="External"/><Relationship Id="rId26" Type="http://schemas.openxmlformats.org/officeDocument/2006/relationships/hyperlink" Target="https://github.com/NoMoreFood/craft/blob/main/source/README.md#request-a-home-certificate-on-windows" TargetMode="External"/><Relationship Id="rId27" Type="http://schemas.openxmlformats.org/officeDocument/2006/relationships/hyperlink" Target="https://github.com/NoMoreFood/craft/blob/main/source/README.md#mode-4-setup-service-tickets-through-constrained-delegation" TargetMode="External"/><Relationship Id="rId28" Type="http://schemas.openxmlformats.org/officeDocument/2006/relationships/hyperlink" Target="https://github.com/NoMoreFood/craft/blob/main/docs/05-Constrained-Delegation.md" TargetMode="External"/><Relationship Id="rId29" Type="http://schemas.openxmlformats.org/officeDocument/2006/relationships/hyperlink" Target="https://github.com/NoMoreFood/craft/blob/main/docs/diagrams/07-constrained-delegation.svg" TargetMode="External"/><Relationship Id="rId30" Type="http://schemas.openxmlformats.org/officeDocument/2006/relationships/hyperlink" Target="https://github.com/NoMoreFood/craft/blob/main/source/TESTING.md" TargetMode="External"/><Relationship Id="rId31" Type="http://schemas.openxmlformats.org/officeDocument/2006/relationships/hyperlink" Target="https://github.com/NoMoreFood/craft/blob/main/source/README.md#long-running-jobs" TargetMode="External"/><Relationship Id="rId32" Type="http://schemas.openxmlformats.org/officeDocument/2006/relationships/hyperlink" Target="https://github.com/NoMoreFood/craft/blob/main/source/README.md#audit-records-and-diagnostics" TargetMode="External"/><Relationship Id="rId33" Type="http://schemas.openxmlformats.org/officeDocument/2006/relationships/hyperlink" Target="https://github.com/NoMoreFood/craft/blob/main/source/config/craft.audit.rules" TargetMode="External"/><Relationship Id="rId34" Type="http://schemas.openxmlformats.org/officeDocument/2006/relationships/hyperlink" Target="https://github.com/NoMoreFood/craft/blob/main/source/SECURITY.md#immediate-disable" TargetMode="External"/><Relationship Id="rId35" Type="http://schemas.openxmlformats.org/officeDocument/2006/relationships/hyperlink" Target="https://github.com/NoMoreFood/craft/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 Configuration and Validation</dc:title>
  <dc:subject>CRAFT Linux operating modes and PKINIT setup</dc:subject>
  <dc:creator>CRAFT</dc:creator>
  <cp:keywords>CRAFT, certificate enrollment, PKINIT, Kerberos, C++20</cp:keywords>
  <dc:description>CRAFT naming revision. See the bundle validation records for the test scope.</dc:description>
  <cp:lastModifiedBy>XXXXX</cp:lastModifiedBy>
  <cp:revision>4</cp:revision>
  <dcterms:created xsi:type="dcterms:W3CDTF">2013-12-23T23:15:00Z</dcterms:created>
  <dcterms:modified xsi:type="dcterms:W3CDTF">2026-09-30T09:12:00Z</dcterms:modified>
  <cp:category/>
</cp:coreProperties>
</file>