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CRAFT Configuration and Validation</w:t>
      </w:r>
    </w:p>
    <w:p>
      <w:pPr>
        <w:pStyle w:val="Subtitle"/>
      </w:pPr>
      <w:r>
        <w:t>Certificate Request Agent for Tickets  |  Administrator Reference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17920" cy="668549"/>
            <wp:docPr id="1" name="CRAFT diagram 1" descr="CRAFT certificate roles: the enrollment-agent certificate signs the request; the Windows CA authorizes and issues a user logon certificate; that user certificate authenticates to the domain controller through PKI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te-ro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68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20"/>
      </w:pPr>
      <w:r>
        <w:t>Figure 1. CRAFT uses an agent certificate for enrollment and a user certificate for PKINIT.</w:t>
      </w:r>
    </w:p>
    <w:p>
      <w:pPr>
        <w:pStyle w:val="Heading2"/>
      </w:pPr>
      <w:r>
        <w:t>Dedicated User-Certificate Template</w:t>
      </w:r>
    </w:p>
    <w:p>
      <w:r>
        <w:t>Use this profile to prepare a lab deployment, then inspect an issued certificate. The CA controls issuance; CSR extensions are requests. CRAFT requires all three client EKUs listed below. [1, 2]</w:t>
      </w:r>
    </w:p>
    <w:tbl>
      <w:tblPr>
        <w:tblW w:type="dxa" w:w="1028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8194"/>
      </w:tblGrid>
      <w:tr>
        <w:trPr>
          <w:tblHeader/>
          <w:cantSplit/>
        </w:trPr>
        <w:tc>
          <w:tcPr>
            <w:tcW w:type="dxa" w:w="2088"/>
            <w:shd w:fill="1937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8194"/>
            <w:shd w:fill="1937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Requested / Required by This Implementation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Subject and identity</w:t>
            </w:r>
          </w:p>
        </w:tc>
        <w:tc>
          <w:tcPr>
            <w:tcW w:type="dxa" w:w="8194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Requested CN is configurable. UPN otherName 1.3.6.1.4.1.311.20.2.3 must match the directory-resolved UPN.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Client EKUs</w:t>
            </w:r>
          </w:p>
        </w:tc>
        <w:tc>
          <w:tcPr>
            <w:tcW w:type="dxa" w:w="81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Client Authentication: 1.3.6.1.5.5.7.3.2</w:t>
              <w:br/>
              <w:t>Smart Card Logon: 1.3.6.1.4.1.311.20.2.2</w:t>
              <w:br/>
              <w:t>PKINIT Client Authentication: 1.3.6.1.5.2.3.4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Key and basic constraints</w:t>
            </w:r>
          </w:p>
        </w:tc>
        <w:tc>
          <w:tcPr>
            <w:tcW w:type="dxa" w:w="8194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RSA-3072; explicit CA:FALSE, no path length. digitalSignature required; keyCertSign/cRLSign forbidden. CSR also requests keyEncipherment.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SID and template</w:t>
            </w:r>
          </w:p>
        </w:tc>
        <w:tc>
          <w:tcPr>
            <w:tcW w:type="dxa" w:w="81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CA-issued SID extension 1.3.6.1.4.1.311.25.2 must match the resolved AD objectSid. Template OID must match configuration.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Validity and trust</w:t>
            </w:r>
          </w:p>
        </w:tc>
        <w:tc>
          <w:tcPr>
            <w:tcW w:type="dxa" w:w="8194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Default cap: ten hours TOTAL, including backdating. Require matching key, valid chain and current CRLs; no UPN-only mapping.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Agent / DC profiles</w:t>
            </w:r>
          </w:p>
        </w:tc>
        <w:tc>
          <w:tcPr>
            <w:tcW w:type="dxa" w:w="819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Agent: Certificate Request Agent EKU 1.3.6.1.4.1.311.20.2.1. DC: a valid PKINIT KDC certificate and configured KDC trust/hostname checks.</w:t>
            </w:r>
          </w:p>
        </w:tc>
      </w:tr>
    </w:tbl>
    <w:p>
      <w:pPr>
        <w:pStyle w:val="Heading2"/>
      </w:pPr>
      <w:r>
        <w:t>Editable Settings</w:t>
      </w:r>
    </w:p>
    <w:p>
      <w:pPr>
        <w:pStyle w:val="CodeBlock"/>
        <w:shd w:fill="F2F5F7"/>
      </w:pPr>
      <w:r>
        <w:rPr>
          <w:rFonts w:ascii="Consolas" w:hAnsi="Consolas" w:eastAsia="Consolas" w:cs="Consolas"/>
        </w:rPr>
        <w:t>certificate_cn={user}</w:t>
        <w:br/>
        <w:t>tgt_seconds=36000</w:t>
        <w:br/>
        <w:t>renew_seconds=604800</w:t>
        <w:br/>
        <w:t>require_full_tgt_lifetime=yes</w:t>
        <w:br/>
        <w:t>cert_remaining_max_seconds=36000</w:t>
        <w:br/>
        <w:t>cert_total_max_seconds=36000</w:t>
      </w:r>
    </w:p>
    <w:p>
      <w:r>
        <w:t xml:space="preserve">CN tokens are {user}, the directory-resolved {upn}, and {domain}; for example, </w:t>
      </w:r>
      <w:r>
        <w:rPr>
          <w:rFonts w:ascii="Consolas" w:hAnsi="Consolas" w:eastAsia="Consolas" w:cs="Consolas"/>
        </w:rPr>
        <w:t>Linux {user}</w:t>
      </w:r>
      <w:r>
        <w:t>. The result must be 1-64 printable ASCII characters. The CA may replace it. Preserve AD-built subject/SAN and identity restrictions.</w:t>
      </w:r>
    </w:p>
    <w:p>
      <w:pPr>
        <w:pStyle w:val="SmallNote"/>
      </w:pPr>
      <w:r>
        <w:t>Both CES modes require service_principal and submitter.keytab for LDAP/GSSAPI. Pin the GC host and search base with gc_url and gc_base_dn. Manage local/AD account names centrally; no static users file is used.</w:t>
      </w:r>
    </w:p>
    <w:p>
      <w:r>
        <w:br w:type="page"/>
      </w:r>
    </w:p>
    <w:p>
      <w:pPr>
        <w:pStyle w:val="Heading1"/>
      </w:pPr>
      <w:r>
        <w:t>Build and Validate in a Lab</w:t>
      </w:r>
    </w:p>
    <w:tbl>
      <w:tblPr>
        <w:tblW w:type="dxa" w:w="1028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8338"/>
      </w:tblGrid>
      <w:tr>
        <w:trPr>
          <w:tblHeader/>
          <w:cantSplit/>
        </w:trPr>
        <w:tc>
          <w:tcPr>
            <w:tcW w:type="dxa" w:w="1944"/>
            <w:shd w:fill="1937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Preparation</w:t>
            </w:r>
          </w:p>
        </w:tc>
        <w:tc>
          <w:tcPr>
            <w:tcW w:type="dxa" w:w="8338"/>
            <w:shd w:fill="19374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Required Action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Linux build</w:t>
            </w:r>
          </w:p>
        </w:tc>
        <w:tc>
          <w:tcPr>
            <w:tcW w:type="dxa" w:w="8338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C++20 with std::format; OpenSSL 3, MIT Kerberos, curl, libxml2, OpenLDAP and Cyrus SASL libraries. Install MIT PKINIT and SASL GSSAPI runtime modules. See source/README.md.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Windows enrollment</w:t>
            </w:r>
          </w:p>
        </w:tc>
        <w:tc>
          <w:tcPr>
            <w:tcW w:type="dxa" w:w="833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Restrict the signing agent to the template and approved users. CES must allow initial enrollment via Negotiate or mTLS. Both modes need the directory keytab; mTLS also needs a TLS-client certificate. [3]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DC policy and AES</w:t>
            </w:r>
          </w:p>
        </w:tc>
        <w:tc>
          <w:tcPr>
            <w:tcW w:type="dxa" w:w="8338"/>
            <w:vAlign w:val="center"/>
            <w:shd w:fill="F1F4F6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Policy must permit a 10-hour initial TGT and 7-day renewal window; PKINIT can limit the initial grant by certificate expiry. Require AES256/AES128 for user and transport tickets. [1, 4, 7]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after="0" w:before="0" w:line="240" w:lineRule="auto"/>
            </w:pPr>
            <w:r>
              <w:rPr>
                <w:b w:val="0"/>
                <w:color w:val="000000"/>
                <w:sz w:val="19"/>
              </w:rPr>
              <w:t>Installation boundary</w:t>
            </w:r>
          </w:p>
        </w:tc>
        <w:tc>
          <w:tcPr>
            <w:tcW w:type="dxa" w:w="833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FFFFF"/>
          </w:tcPr>
          <w:p>
            <w:pPr>
              <w:spacing w:before="0" w:after="0"/>
            </w:pPr>
            <w:r>
              <w:rPr>
                <w:b w:val="0"/>
                <w:color w:val="000000"/>
                <w:sz w:val="19"/>
              </w:rPr>
              <w:t>Only craft becomes setuid. The craft account/group holds credentials; callers use craft-users. Review the Windows helper, complete CA restrictions and keep configuration disabled until ready.</w:t>
            </w:r>
          </w:p>
        </w:tc>
      </w:tr>
    </w:tbl>
    <w:p>
      <w:pPr>
        <w:pStyle w:val="CodeBlock"/>
        <w:shd w:fill="F2F5F7"/>
        <w:spacing w:before="100"/>
      </w:pPr>
      <w:r>
        <w:rPr>
          <w:rFonts w:ascii="Consolas" w:hAnsi="Consolas" w:eastAsia="Consolas" w:cs="Consolas"/>
        </w:rPr>
        <w:t>cmake -S source -B build -DCMAKE_BUILD_TYPE=Release</w:t>
        <w:br/>
        <w:t>cmake --build build -j2</w:t>
        <w:br/>
        <w:t>ctest --test-dir build --output-on-failure</w:t>
      </w:r>
    </w:p>
    <w:p>
      <w:pPr>
        <w:pStyle w:val="Heading2"/>
      </w:pPr>
      <w:r>
        <w:t>Acceptance Checks</w:t>
      </w:r>
    </w:p>
    <w:p>
      <w:r>
        <w:t>1. Verify directory lookup and CA audit identity. Inspect issued UPN, recipient SID, template, key, three EKUs, CN behavior, chain, CRLs and total validity.</w:t>
      </w:r>
    </w:p>
    <w:p>
      <w:r>
        <w:t xml:space="preserve">2. Invoke craft directly as an approved user. Inspect TGT start/end time, renewable/nonforwardable/nonproxiable flags, and AES session and ticket encryption with </w:t>
      </w:r>
      <w:r>
        <w:rPr>
          <w:rFonts w:ascii="Consolas" w:hAnsi="Consolas" w:eastAsia="Consolas" w:cs="Consolas"/>
        </w:rPr>
        <w:t>klist -ef</w:t>
      </w:r>
      <w:r>
        <w:t>.</w:t>
      </w:r>
    </w:p>
    <w:p>
      <w:pPr>
        <w:pStyle w:val="CodeBlock"/>
        <w:shd w:fill="F2F5F7"/>
      </w:pPr>
      <w:r>
        <w:rPr>
          <w:rFonts w:ascii="Consolas" w:hAnsi="Consolas" w:eastAsia="Consolas" w:cs="Consolas"/>
        </w:rPr>
        <w:t>if cache=$(/usr/local/bin/craft); then</w:t>
        <w:br/>
        <w:t xml:space="preserve">    export KRB5CCNAME="$cache"</w:t>
        <w:br/>
        <w:t xml:space="preserve">    klist -ef -c "$KRB5CCNAME"</w:t>
        <w:br/>
        <w:t>fi</w:t>
      </w:r>
    </w:p>
    <w:p>
      <w:r>
        <w:t>3. Confirm strict refusal of shortened grants preserves an existing cache. Test unauthorized users, changed names, wrong identities/keys/templates, RC4, expired CRLs, unsafe homes, concurrency and transport failure.</w:t>
      </w:r>
    </w:p>
    <w:p>
      <w:r>
        <w:t>4. Test a real Kerberos application. Review AUTHPRIV/CA/CES/KDC logs and document credential rotation, CRL refresh, account lifecycle, cache protection and incident response.</w:t>
      </w:r>
    </w:p>
    <w:p>
      <w:pPr/>
      <w:r>
        <w:t>Offline fixtures are synthetic. They do not establish live LDAP/CES/PKINIT interoperability or validate the installed setuid boundary. Run and record the current tests; complete source/TESTING.md in the lab.</w:t>
      </w:r>
    </w:p>
    <w:p>
      <w:pPr>
        <w:pStyle w:val="Heading2"/>
      </w:pPr>
      <w:r>
        <w:t>Primary References</w:t>
      </w:r>
    </w:p>
    <w:p>
      <w:pPr>
        <w:pStyle w:val="SmallNote"/>
      </w:pPr>
      <w:r>
        <w:t xml:space="preserve">[1] </w:t>
      </w:r>
      <w:hyperlink r:id="rId12">
        <w:r>
          <w:rPr>
            <w:color w:val="087E8B"/>
            <w:sz w:val="17"/>
          </w:rPr>
          <w:t>RFC 4556, sections 3.2.2–3.2.3: client certificate usage and ticket/key lifetime</w:t>
        </w:r>
      </w:hyperlink>
    </w:p>
    <w:p>
      <w:pPr>
        <w:pStyle w:val="SmallNote"/>
      </w:pPr>
      <w:r>
        <w:t xml:space="preserve">[2] </w:t>
      </w:r>
      <w:hyperlink r:id="rId13">
        <w:r>
          <w:rPr>
            <w:color w:val="087E8B"/>
            <w:sz w:val="17"/>
          </w:rPr>
          <w:t>Microsoft MS-WCCE: CA certificate SID security extension</w:t>
        </w:r>
      </w:hyperlink>
    </w:p>
    <w:p>
      <w:pPr>
        <w:pStyle w:val="SmallNote"/>
      </w:pPr>
      <w:r>
        <w:t xml:space="preserve">[3] </w:t>
      </w:r>
      <w:hyperlink r:id="rId14">
        <w:r>
          <w:rPr>
            <w:color w:val="087E8B"/>
            <w:sz w:val="17"/>
          </w:rPr>
          <w:t>Microsoft: Configure Certificate Enrollment Web Service</w:t>
        </w:r>
      </w:hyperlink>
    </w:p>
    <w:p>
      <w:pPr>
        <w:pStyle w:val="SmallNote"/>
      </w:pPr>
      <w:r>
        <w:t xml:space="preserve">[4] </w:t>
      </w:r>
      <w:hyperlink r:id="rId15">
        <w:r>
          <w:rPr>
            <w:color w:val="087E8B"/>
            <w:sz w:val="17"/>
          </w:rPr>
          <w:t>MIT Kerberos: encryption types, ticket lifetime and KDC options</w:t>
        </w:r>
      </w:hyperlink>
    </w:p>
    <w:p>
      <w:pPr>
        <w:pStyle w:val="SmallNote"/>
      </w:pPr>
      <w:r>
        <w:t xml:space="preserve">[5] </w:t>
      </w:r>
      <w:hyperlink r:id="rId16">
        <w:r>
          <w:rPr>
            <w:color w:val="087E8B"/>
            <w:sz w:val="17"/>
          </w:rPr>
          <w:t>MIT Kerberos: PKINIT configuration and Active Directory considerations</w:t>
        </w:r>
      </w:hyperlink>
    </w:p>
    <w:p>
      <w:pPr>
        <w:pStyle w:val="SmallNote"/>
      </w:pPr>
      <w:r>
        <w:t xml:space="preserve">[6] </w:t>
      </w:r>
      <w:hyperlink r:id="rId17">
        <w:r>
          <w:rPr>
            <w:color w:val="087E8B"/>
            <w:sz w:val="17"/>
          </w:rPr>
          <w:t>Microsoft KB5014754: strong certificate-to-account mapping</w:t>
        </w:r>
      </w:hyperlink>
    </w:p>
    <w:p>
      <w:pPr>
        <w:pStyle w:val="SmallNote"/>
      </w:pPr>
      <w:r>
        <w:t xml:space="preserve">[7] </w:t>
      </w:r>
      <w:hyperlink r:id="rId18">
        <w:r>
          <w:rPr>
            <w:color w:val="087E8B"/>
            <w:sz w:val="17"/>
          </w:rPr>
          <w:t>Microsoft: Maximum lifetime for user ticket (hours)</w:t>
        </w:r>
      </w:hyperlink>
    </w:p>
    <w:p>
      <w:pPr>
        <w:pStyle w:val="SmallNote"/>
      </w:pPr>
      <w:r>
        <w:t>Source implementation and test suite: see source/ in the repository.</w:t>
      </w:r>
    </w:p>
    <w:p>
      <w:pPr>
        <w:pStyle w:val="Heading2"/>
      </w:pPr>
      <w:r>
        <w:t>License</w:t>
      </w:r>
    </w:p>
    <w:p>
      <w:pPr>
        <w:pStyle w:val="SmallNote"/>
      </w:pPr>
      <w:r>
        <w:t>CRAFT source code, scripts, configuration examples, and documentation are licensed under the GNU General Public License, version 3 (SPDX: GPL-3.0-only). See the repository LICENSE file or https://www.gnu.org/licenses/gpl-3.0.html for the full terms. This material is provided without warranty, as described in the license.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64" w:left="979" w:header="36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t xml:space="preserve"/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</w:pPr>
    <w:r>
      <w:rPr>
        <w:color w:val="5B6770"/>
      </w:rPr>
      <w:t>CRAFT     •     02  /  Configuration &amp; Validation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5B677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00" w:line="240" w:lineRule="auto"/>
    </w:pPr>
    <w:rPr>
      <w:rFonts w:ascii="Consolas" w:hAnsi="Consolas" w:eastAsia="Consolas" w:cs="Consolas"/>
      <w:sz w:val="18"/>
    </w:rPr>
  </w:style>
  <w:style w:type="paragraph" w:customStyle="1" w:styleId="SmallNote">
    <w:name w:val="Small Note"/>
    <w:pPr>
      <w:spacing w:after="60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datatracker.ietf.org/doc/html/rfc4556#section-3.2.3" TargetMode="External"/><Relationship Id="rId13" Type="http://schemas.openxmlformats.org/officeDocument/2006/relationships/hyperlink" Target="https://learn.microsoft.com/en-us/openspecs/windows_protocols/ms-wcce/e563cff8-1af6-4e6f-a655-7571ca482e71" TargetMode="External"/><Relationship Id="rId14" Type="http://schemas.openxmlformats.org/officeDocument/2006/relationships/hyperlink" Target="https://learn.microsoft.com/en-us/windows-server/identity/ad-cs/configure-certificate-enrollment-web-service" TargetMode="External"/><Relationship Id="rId15" Type="http://schemas.openxmlformats.org/officeDocument/2006/relationships/hyperlink" Target="https://web.mit.edu/kerberos/krb5-latest/doc/admin/conf_files/krb5_conf.html" TargetMode="External"/><Relationship Id="rId16" Type="http://schemas.openxmlformats.org/officeDocument/2006/relationships/hyperlink" Target="https://web.mit.edu/kerberos/krb5-latest/doc/admin/pkinit.html" TargetMode="External"/><Relationship Id="rId17" Type="http://schemas.openxmlformats.org/officeDocument/2006/relationships/hyperlink" Target="https://support.microsoft.com/en-us/servicing/os/windows-server/2022/05/kb5014754-certificate-based-authentication-changes-on-windows-domain-controllers" TargetMode="External"/><Relationship Id="rId18" Type="http://schemas.openxmlformats.org/officeDocument/2006/relationships/hyperlink" Target="https://learn.microsoft.com/en-us/previous-versions/windows/it-pro/windows-10/security/threat-protection/security-policy-settings/maximum-lifetime-for-user-tick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 - Configuration and Validation</dc:title>
  <dc:subject>CRAFT - Certificate Request Agent For Tickets</dc:subject>
  <dc:creator/>
  <cp:keywords>CRAFT, certificate enrollment, PKINIT, Kerberos, C++20</cp:keywords>
  <dc:description>CRAFT naming revision. See the bundle validation records for the test scope.</dc:description>
  <cp:lastModifiedBy/>
  <cp:revision>1</cp:revision>
  <dcterms:created xsi:type="dcterms:W3CDTF">2013-12-23T23:15:00Z</dcterms:created>
  <dcterms:modified xsi:type="dcterms:W3CDTF">2026-09-25T12:52:59Z</dcterms:modified>
  <cp:category/>
</cp:coreProperties>
</file>