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CRAFT obtains a user's Kerberos ticket-granting ticket (TGT) through PKINIT from Linux, including hosts that are not domain-joined. It supports privileged enrollment through AD CS, privileged Key Trust credential linking, and unprivileged authentication with a supplied certificate exported from Windows. All three publish the user's cache for unattended applications without storing the user's AD password.</w:t>
      </w:r>
    </w:p>
    <w:p>
      <w:pPr>
        <w:pStyle w:val="Heading1"/>
      </w:pPr>
      <w:r>
        <w:t>Choose an operating mode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24">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25">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26">
              <w:r>
                <w:rPr>
                  <w:color w:val="315DC0"/>
                  <w:u w:val="single"/>
                </w:rPr>
                <w:t>Mode 3 setup</w:t>
              </w:r>
            </w:hyperlink>
          </w:p>
        </w:tc>
      </w:tr>
    </w:tbl>
    <w:p>
      <w:pPr>
        <w:spacing w:after="0"/>
      </w:pPr>
    </w:p>
    <w:p>
      <w:pPr>
        <w:pStyle w:val="Heading1"/>
      </w:pPr>
      <w:r>
        <w:t>How CRAFT selects the mode</w:t>
      </w:r>
    </w:p>
    <w:p>
      <w:r>
        <w:t>A complete pair at the real caller's NSS-home ~/.config/craft/user.pem and user.key takes priority on every installation. Partial, unsafe, expired, revoked or invalid inputs fail and preserve the cache. Only when both files are absent does mechanism=enrollment select mode 1 or mechanism=key_trust select mode 2. A failed privileged mechanism never switches to the other one.</w:t>
      </w:r>
    </w:p>
    <w:p>
      <w:r>
        <w:t>Mode 3 uses ordinary executables. Modes 1 and 2 require the installed setuid launcher, dedicated craft service account, craft-users caller group and private /run/craft runtime directory. Users invoke craft directly as themselves, without sudo. Certificate and network processing run outside root, and cache publication runs as the caller.</w:t>
      </w:r>
    </w:p>
    <w:p>
      <w:hyperlink r:id="rId27">
        <w:r>
          <w:rPr>
            <w:color w:val="315DC0"/>
            <w:u w:val="single"/>
          </w:rPr>
          <w:t>Three-mode selection diagram</w:t>
        </w:r>
      </w:hyperlink>
      <w:r>
        <w:t xml:space="preserve">  |  </w:t>
      </w:r>
      <w:hyperlink r:id="rId28">
        <w:r>
          <w:rPr>
            <w:color w:val="315DC0"/>
            <w:u w:val="single"/>
          </w:rPr>
          <w:t>Build and install</w:t>
        </w:r>
      </w:hyperlink>
    </w:p>
    <w:p>
      <w:r>
        <w:t>CRAFT supports automation alongside MFA-protected sign-in, but does not perform an MFA challenge or establish that one was completed. The next pages show each acquisition flow; the final pages explain identity, storage and the shared ticket lifecycle.</w:t>
      </w:r>
    </w:p>
    <w:p>
      <w:pPr>
        <w:sectPr>
          <w:headerReference w:type="default" r:id="rId22"/>
          <w:footerReference w:type="default" r:id="rId23"/>
          <w:pgSz w:w="12240" w:h="15840"/>
          <w:pgMar w:top="893" w:right="979" w:bottom="893" w:left="979" w:header="360" w:footer="360" w:gutter="0"/>
          <w:cols w:space="720"/>
          <w:docGrid w:linePitch="360"/>
        </w:sectPr>
      </w:pPr>
    </w:p>
    <w:p>
      <w:pPr>
        <w:pStyle w:val="Heading1"/>
      </w:pPr>
      <w:r>
        <w:t>Mode 1 privileged certificate enrollment</w:t>
      </w:r>
    </w:p>
    <w:p>
      <w:hyperlink r:id="rId24">
        <w:r>
          <w:rPr>
            <w:color w:val="315DC0"/>
            <w:u w:val="single"/>
          </w:rPr>
          <w:t>Complete setup instructions</w:t>
        </w:r>
      </w:hyperlink>
      <w:r>
        <w:t xml:space="preserve">  |  </w:t>
      </w:r>
      <w:hyperlink r:id="rId29">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25">
        <w:r>
          <w:rPr>
            <w:color w:val="315DC0"/>
            <w:u w:val="single"/>
          </w:rPr>
          <w:t>Complete setup instructions</w:t>
        </w:r>
      </w:hyperlink>
      <w:r>
        <w:t xml:space="preserve">  |  </w:t>
      </w:r>
      <w:hyperlink r:id="rId31">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26">
        <w:r>
          <w:rPr>
            <w:color w:val="315DC0"/>
            <w:u w:val="single"/>
          </w:rPr>
          <w:t>Complete setup instructions</w:t>
        </w:r>
      </w:hyperlink>
      <w:r>
        <w:t xml:space="preserve">  |  </w:t>
      </w:r>
      <w:hyperlink r:id="rId33">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TGT principal,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 public key (default 3072 bits).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bl>
    <w:p>
      <w:pPr>
        <w:spacing w:after="0"/>
      </w:pPr>
    </w:p>
    <w:p>
      <w:r>
        <w:t>Every mode atomically publishes a caller-owned mode-0600 .krb5cc_craft in the NSS home. This persistent cache contains the TGT and session key, without the user's certificate or private key. Applications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35">
        <w:r>
          <w:rPr>
            <w:color w:val="315DC0"/>
            <w:u w:val="single"/>
          </w:rPr>
          <w:t>Enrollment-agent restrictions</w:t>
        </w:r>
      </w:hyperlink>
      <w:r>
        <w:t xml:space="preserve">  |  </w:t>
      </w:r>
      <w:hyperlink r:id="rId36">
        <w:r>
          <w:rPr>
            <w:color w:val="315DC0"/>
            <w:u w:val="single"/>
          </w:rPr>
          <w:t>Key Trust delegation</w:t>
        </w:r>
      </w:hyperlink>
    </w:p>
    <w:p>
      <w:pPr>
        <w:pStyle w:val="Heading1"/>
        <w:pageBreakBefore/>
      </w:pPr>
      <w:r>
        <w:t>Ticket lifetimes and everyday use</w:t>
      </w:r>
    </w:p>
    <w:p>
      <w:r>
        <w:t>CRAFT requests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Renewal uses the cached ticket and session key alone. Fresh authentication near the absolute renewal deadline invokes craft: reuse the supplied pair, or use the configured enrollment or credential-linking mode when both files are absent. Full ten-hour/seven-day grants normally renew near hour eight and authenticate afresh near day six; actual grants set the schedule.</w:t>
      </w:r>
    </w:p>
    <w:p>
      <w:r>
        <w:t>Install the maintainer without setuid/setgid on Linux with /proc and system Kerberos configuration matching the pinned realm/KDC and AES policy. Monitoring uses pidfds when available and /proc elsewhere. Home refresh works under no_new_privs; modes 1 and 2 require later setuid calls. The scheduler must retain background processes. Watch a shell or job controller that lasts for the job; optional --max-duration 21d adds a cutoff. Concurrent jobs for one UID share the cache and fresh-acquisition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41">
        <w:r>
          <w:rPr>
            <w:color w:val="315DC0"/>
            <w:u w:val="single"/>
          </w:rPr>
          <w:t>Maintenance setup and status</w:t>
        </w:r>
      </w:hyperlink>
      <w:r>
        <w:t xml:space="preserve">  |  </w:t>
      </w:r>
      <w:hyperlink r:id="rId42">
        <w:r>
          <w:rPr>
            <w:color w:val="315DC0"/>
            <w:u w:val="single"/>
          </w:rPr>
          <w:t>Credential timing diagram</w:t>
        </w:r>
      </w:hyperlink>
    </w:p>
    <w:p>
      <w:r>
        <w:t>All modes require a working host logging socket at /dev/log. Administrators maintain CRLs, review authorization scope and protect persistent credentials. Setting enabled=no stops fresh acquisition; stop active maintainers separately to end renewal. Issued tickets and service sessions remain subject to domain policy.</w:t>
      </w:r>
    </w:p>
    <w:p>
      <w:hyperlink r:id="rId43">
        <w:r>
          <w:rPr>
            <w:color w:val="315DC0"/>
            <w:u w:val="single"/>
          </w:rPr>
          <w:t>Audit and troubleshooting</w:t>
        </w:r>
      </w:hyperlink>
      <w:r>
        <w:t xml:space="preserve">  |  </w:t>
      </w:r>
      <w:hyperlink r:id="rId44">
        <w:r>
          <w:rPr>
            <w:color w:val="315DC0"/>
            <w:u w:val="single"/>
          </w:rPr>
          <w:t>Operational disable</w:t>
        </w:r>
      </w:hyperlink>
    </w:p>
    <w:p>
      <w:pPr>
        <w:pStyle w:val="Heading2"/>
      </w:pPr>
      <w:r>
        <w:t>References and license</w:t>
      </w:r>
    </w:p>
    <w:p>
      <w:hyperlink r:id="rId45">
        <w:r>
          <w:rPr>
            <w:color w:val="315DC0"/>
            <w:u w:val="single"/>
          </w:rPr>
          <w:t>Install and configure</w:t>
        </w:r>
      </w:hyperlink>
      <w:r>
        <w:t xml:space="preserve">  |  </w:t>
      </w:r>
      <w:hyperlink r:id="rId46">
        <w:r>
          <w:rPr>
            <w:color w:val="315DC0"/>
            <w:u w:val="single"/>
          </w:rPr>
          <w:t>Security and operations</w:t>
        </w:r>
      </w:hyperlink>
      <w:r>
        <w:t xml:space="preserve">  |  </w:t>
      </w:r>
      <w:hyperlink r:id="rId47">
        <w:r>
          <w:rPr>
            <w:color w:val="315DC0"/>
            <w:u w:val="single"/>
          </w:rPr>
          <w:t>Acceptance checks</w:t>
        </w:r>
      </w:hyperlink>
    </w:p>
    <w:p>
      <w:hyperlink r:id="rId48">
        <w:r>
          <w:rPr>
            <w:color w:val="315DC0"/>
            <w:u w:val="single"/>
          </w:rPr>
          <w:t>PKINIT specification</w:t>
        </w:r>
      </w:hyperlink>
      <w:r>
        <w:t xml:space="preserve">  |  </w:t>
      </w:r>
      <w:hyperlink r:id="rId49">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50">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37" Type="http://schemas.openxmlformats.org/officeDocument/2006/relationships/header" Target="header2.xml"/><Relationship Id="rId38" Type="http://schemas.openxmlformats.org/officeDocument/2006/relationships/footer" Target="footer2.xml"/><Relationship Id="rId39" Type="http://schemas.openxmlformats.org/officeDocument/2006/relationships/header" Target="header3.xml"/><Relationship Id="rId40"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yperlink" Target="https://github.com/NoMoreFood/craft/blob/main/source/README.md#mode-1-setup-privileged-certificate-enrollment" TargetMode="External"/><Relationship Id="rId25" Type="http://schemas.openxmlformats.org/officeDocument/2006/relationships/hyperlink" Target="https://github.com/NoMoreFood/craft/blob/main/source/README.md#mode-2-setup-privileged-credential-linking" TargetMode="External"/><Relationship Id="rId26" Type="http://schemas.openxmlformats.org/officeDocument/2006/relationships/hyperlink" Target="https://github.com/NoMoreFood/craft/blob/main/source/README.md#mode-3-setup-unprivileged-windows-exported-certificate" TargetMode="External"/><Relationship Id="rId27" Type="http://schemas.openxmlformats.org/officeDocument/2006/relationships/hyperlink" Target="https://github.com/NoMoreFood/craft/blob/main/docs/diagrams/01-system-overview.svg" TargetMode="External"/><Relationship Id="rId28" Type="http://schemas.openxmlformats.org/officeDocument/2006/relationships/hyperlink" Target="https://github.com/NoMoreFood/craft/blob/main/source/README.md#build" TargetMode="External"/><Relationship Id="rId29" Type="http://schemas.openxmlformats.org/officeDocument/2006/relationships/hyperlink" Target="https://github.com/NoMoreFood/craft/blob/main/docs/diagrams/02-enrollment-sequence.svg" TargetMode="External"/><Relationship Id="rId30" Type="http://schemas.openxmlformats.org/officeDocument/2006/relationships/image" Target="media/image5.png"/><Relationship Id="rId31" Type="http://schemas.openxmlformats.org/officeDocument/2006/relationships/hyperlink" Target="https://github.com/NoMoreFood/craft/blob/main/docs/diagrams/03-credential-linking-sequence.svg" TargetMode="External"/><Relationship Id="rId32" Type="http://schemas.openxmlformats.org/officeDocument/2006/relationships/image" Target="media/image6.png"/><Relationship Id="rId33" Type="http://schemas.openxmlformats.org/officeDocument/2006/relationships/hyperlink" Target="https://github.com/NoMoreFood/craft/blob/main/docs/diagrams/04-windows-exported-certificate.svg" TargetMode="External"/><Relationship Id="rId34" Type="http://schemas.openxmlformats.org/officeDocument/2006/relationships/image" Target="media/image3.png"/><Relationship Id="rId35" Type="http://schemas.openxmlformats.org/officeDocument/2006/relationships/hyperlink" Target="https://github.com/NoMoreFood/craft/blob/main/docs/03-Enrollment-Agent-Restrictions.md" TargetMode="External"/><Relationship Id="rId36" Type="http://schemas.openxmlformats.org/officeDocument/2006/relationships/hyperlink" Target="https://github.com/NoMoreFood/craft/blob/main/docs/04-Key-Credential-Link-Delegation.md" TargetMode="External"/><Relationship Id="rId41" Type="http://schemas.openxmlformats.org/officeDocument/2006/relationships/hyperlink" Target="https://github.com/NoMoreFood/craft/blob/main/source/README.md#long-running-jobs" TargetMode="External"/><Relationship Id="rId42" Type="http://schemas.openxmlformats.org/officeDocument/2006/relationships/hyperlink" Target="https://github.com/NoMoreFood/craft/blob/main/docs/diagrams/05-credential-timing.svg" TargetMode="External"/><Relationship Id="rId43" Type="http://schemas.openxmlformats.org/officeDocument/2006/relationships/hyperlink" Target="https://github.com/NoMoreFood/craft/blob/main/source/README.md#audit-records-and-diagnostics" TargetMode="External"/><Relationship Id="rId44" Type="http://schemas.openxmlformats.org/officeDocument/2006/relationships/hyperlink" Target="https://github.com/NoMoreFood/craft/blob/main/source/SECURITY.md#immediate-disable" TargetMode="External"/><Relationship Id="rId45" Type="http://schemas.openxmlformats.org/officeDocument/2006/relationships/hyperlink" Target="https://github.com/NoMoreFood/craft/blob/main/source/README.md" TargetMode="External"/><Relationship Id="rId46" Type="http://schemas.openxmlformats.org/officeDocument/2006/relationships/hyperlink" Target="https://github.com/NoMoreFood/craft/blob/main/source/SECURITY.md" TargetMode="External"/><Relationship Id="rId47" Type="http://schemas.openxmlformats.org/officeDocument/2006/relationships/hyperlink" Target="https://github.com/NoMoreFood/craft/blob/main/source/TESTING.md" TargetMode="External"/><Relationship Id="rId48" Type="http://schemas.openxmlformats.org/officeDocument/2006/relationships/hyperlink" Target="https://www.rfc-editor.org/rfc/rfc4556" TargetMode="External"/><Relationship Id="rId49" Type="http://schemas.openxmlformats.org/officeDocument/2006/relationships/hyperlink" Target="https://web.mit.edu/kerberos/krb5-latest/doc/admin/pkinit.html" TargetMode="External"/><Relationship Id="rId50"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