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E4921" w:rsidRDefault="00CA0380">
      <w:pPr>
        <w:pStyle w:val="Title"/>
      </w:pPr>
      <w:r>
        <w:t>CRAFT Configuration and Validation</w:t>
      </w:r>
    </w:p>
    <w:p w:rsidR="001E4921" w:rsidRDefault="00CA0380">
      <w:pPr>
        <w:pStyle w:val="Subtitle"/>
      </w:pPr>
      <w:r>
        <w:t>Certificate Request Agent for Tickets  |  Administrator Reference</w:t>
      </w:r>
    </w:p>
    <w:p w:rsidR="001E4921" w:rsidRDefault="00CA0380">
      <w:pPr>
        <w:spacing w:after="20"/>
        <w:jc w:val="center"/>
      </w:pPr>
      <w:r>
        <w:rPr>
          <w:noProof/>
        </w:rPr>
        <w:drawing>
          <wp:inline distT="0" distB="0" distL="0" distR="0">
            <wp:extent cx="6217920" cy="668549"/>
            <wp:effectExtent l="0" t="0" r="0" b="0"/>
            <wp:docPr id="1" name="CRAFT diagram 1" descr="CRAFT certificate roles: the enrollment-agent certificate signs the request; the Windows CA authorizes and issues a user logon certificate; that user certificate authenticates to the domain controller through PKINI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ertificate-role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668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4921" w:rsidRDefault="00CA0380">
      <w:pPr>
        <w:pStyle w:val="Caption"/>
      </w:pPr>
      <w:r>
        <w:t>Figure 1. CRAFT uses an agent certificate for enrollment and a user certificate for PKINIT.</w:t>
      </w:r>
    </w:p>
    <w:p w:rsidR="001E4921" w:rsidRDefault="00CA0380">
      <w:pPr>
        <w:pStyle w:val="Heading2"/>
      </w:pPr>
      <w:r>
        <w:t>Dedicated User-Certificate Template</w:t>
      </w:r>
    </w:p>
    <w:p w:rsidR="001E4921" w:rsidRDefault="00CA0380">
      <w:r>
        <w:t>Use this profile to prepare a lab deployment, then inspect an issued certificate. The CA controls issuance; CSR extensions are requests. The CA supplies the SID for domain-controller mapping. CRAFT requires all three client EKUs listed below. [1, 2, 6]</w:t>
      </w:r>
    </w:p>
    <w:tbl>
      <w:tblPr>
        <w:tblW w:w="1028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88"/>
        <w:gridCol w:w="8194"/>
      </w:tblGrid>
      <w:tr w:rsidR="001E4921">
        <w:trPr>
          <w:cantSplit/>
          <w:tblHeader/>
          <w:jc w:val="center"/>
        </w:trPr>
        <w:tc>
          <w:tcPr>
            <w:tcW w:w="2088" w:type="dxa"/>
            <w:shd w:val="clear" w:color="auto" w:fill="19374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Property</w:t>
            </w:r>
          </w:p>
        </w:tc>
        <w:tc>
          <w:tcPr>
            <w:tcW w:w="8194" w:type="dxa"/>
            <w:shd w:val="clear" w:color="auto" w:fill="19374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Requested / Required by This Implementation</w:t>
            </w:r>
          </w:p>
        </w:tc>
      </w:tr>
      <w:tr w:rsidR="001E4921">
        <w:trPr>
          <w:cantSplit/>
          <w:jc w:val="center"/>
        </w:trPr>
        <w:tc>
          <w:tcPr>
            <w:tcW w:w="2088" w:type="dxa"/>
            <w:shd w:val="clear" w:color="auto" w:fill="F1F4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color w:val="000000"/>
                <w:sz w:val="19"/>
              </w:rPr>
              <w:t>Subject and identity</w:t>
            </w:r>
          </w:p>
        </w:tc>
        <w:tc>
          <w:tcPr>
            <w:tcW w:w="8194" w:type="dxa"/>
            <w:shd w:val="clear" w:color="auto" w:fill="F1F4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/>
            </w:pPr>
            <w:r>
              <w:rPr>
                <w:color w:val="000000"/>
                <w:sz w:val="19"/>
              </w:rPr>
              <w:t>Requested CN is configurable. UPN otherName 1.3.6.1.4.1.311.20.2.3 must match the directory-resolved UPN.</w:t>
            </w:r>
          </w:p>
        </w:tc>
      </w:tr>
      <w:tr w:rsidR="001E4921">
        <w:trPr>
          <w:cantSplit/>
          <w:jc w:val="center"/>
        </w:trPr>
        <w:tc>
          <w:tcPr>
            <w:tcW w:w="208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color w:val="000000"/>
                <w:sz w:val="19"/>
              </w:rPr>
              <w:t>Client EKUs</w:t>
            </w:r>
          </w:p>
        </w:tc>
        <w:tc>
          <w:tcPr>
            <w:tcW w:w="819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color w:val="000000"/>
                <w:sz w:val="19"/>
              </w:rPr>
              <w:t>Client Authentication: 1.3.6.1.5.5.7.3.2</w:t>
            </w:r>
            <w:r>
              <w:rPr>
                <w:color w:val="000000"/>
                <w:sz w:val="19"/>
              </w:rPr>
              <w:br/>
              <w:t>Smart Card Logon: 1.3.6.1.4.1.311.20.2.2</w:t>
            </w:r>
            <w:r>
              <w:rPr>
                <w:color w:val="000000"/>
                <w:sz w:val="19"/>
              </w:rPr>
              <w:br/>
              <w:t>PKINIT Client Authentication: 1.3.6.1.5.2.3.4</w:t>
            </w:r>
          </w:p>
        </w:tc>
      </w:tr>
      <w:tr w:rsidR="001E4921">
        <w:trPr>
          <w:cantSplit/>
          <w:jc w:val="center"/>
        </w:trPr>
        <w:tc>
          <w:tcPr>
            <w:tcW w:w="2088" w:type="dxa"/>
            <w:shd w:val="clear" w:color="auto" w:fill="F1F4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color w:val="000000"/>
                <w:sz w:val="19"/>
              </w:rPr>
              <w:t>Key and basic constraints</w:t>
            </w:r>
          </w:p>
        </w:tc>
        <w:tc>
          <w:tcPr>
            <w:tcW w:w="8194" w:type="dxa"/>
            <w:shd w:val="clear" w:color="auto" w:fill="F1F4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color w:val="000000"/>
                <w:sz w:val="19"/>
              </w:rPr>
              <w:t>RSA-3072; explicit CA:FALSE, no path length. digitalSignature required; keyCertSign/cRLSign forbidden. CSR also requests keyEncipherment.</w:t>
            </w:r>
          </w:p>
        </w:tc>
      </w:tr>
      <w:tr w:rsidR="001E4921">
        <w:trPr>
          <w:cantSplit/>
          <w:jc w:val="center"/>
        </w:trPr>
        <w:tc>
          <w:tcPr>
            <w:tcW w:w="208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color w:val="000000"/>
                <w:sz w:val="19"/>
              </w:rPr>
              <w:t>Certificate template</w:t>
            </w:r>
          </w:p>
        </w:tc>
        <w:tc>
          <w:tcPr>
            <w:tcW w:w="819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/>
            </w:pPr>
            <w:r>
              <w:rPr>
                <w:color w:val="000000"/>
                <w:sz w:val="19"/>
              </w:rPr>
              <w:t>Template OID must match configuration.</w:t>
            </w:r>
          </w:p>
        </w:tc>
      </w:tr>
      <w:tr w:rsidR="001E4921">
        <w:trPr>
          <w:cantSplit/>
          <w:jc w:val="center"/>
        </w:trPr>
        <w:tc>
          <w:tcPr>
            <w:tcW w:w="2088" w:type="dxa"/>
            <w:shd w:val="clear" w:color="auto" w:fill="F1F4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color w:val="000000"/>
                <w:sz w:val="19"/>
              </w:rPr>
              <w:t>Validity and trust</w:t>
            </w:r>
          </w:p>
        </w:tc>
        <w:tc>
          <w:tcPr>
            <w:tcW w:w="8194" w:type="dxa"/>
            <w:shd w:val="clear" w:color="auto" w:fill="F1F4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/>
            </w:pPr>
            <w:r>
              <w:rPr>
                <w:color w:val="000000"/>
                <w:sz w:val="19"/>
              </w:rPr>
              <w:t>Default cap: ten hours TOTAL, including backdating. Require matching key, valid chain and current CRLs.</w:t>
            </w:r>
          </w:p>
        </w:tc>
      </w:tr>
      <w:tr w:rsidR="001E4921">
        <w:trPr>
          <w:cantSplit/>
          <w:jc w:val="center"/>
        </w:trPr>
        <w:tc>
          <w:tcPr>
            <w:tcW w:w="208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color w:val="000000"/>
                <w:sz w:val="19"/>
              </w:rPr>
              <w:t>Agent / DC profiles</w:t>
            </w:r>
          </w:p>
        </w:tc>
        <w:tc>
          <w:tcPr>
            <w:tcW w:w="819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color w:val="000000"/>
                <w:sz w:val="19"/>
              </w:rPr>
              <w:t>Agent: Certificate Request Agent EKU 1.3.6.1.4.1.311.20.2.1. DC: a valid PKINIT KDC certificate and configured KDC trust/hostname checks.</w:t>
            </w:r>
          </w:p>
        </w:tc>
      </w:tr>
    </w:tbl>
    <w:p w:rsidR="001E4921" w:rsidRDefault="00CA0380">
      <w:pPr>
        <w:pStyle w:val="Heading2"/>
      </w:pPr>
      <w:r>
        <w:t>Editable Settings</w:t>
      </w:r>
    </w:p>
    <w:p w:rsidR="001E4921" w:rsidRDefault="00CA0380">
      <w:pPr>
        <w:pStyle w:val="CodeBlock"/>
        <w:shd w:val="clear" w:color="auto" w:fill="F2F5F7"/>
      </w:pPr>
      <w:r>
        <w:t>certificate_cn={user}</w:t>
      </w:r>
      <w:r>
        <w:br/>
        <w:t>tgt_seconds=36000</w:t>
      </w:r>
      <w:r>
        <w:br/>
        <w:t>renew_seconds=604800</w:t>
      </w:r>
      <w:r>
        <w:br/>
        <w:t>require_full_tgt_lifetime=yes</w:t>
      </w:r>
      <w:r>
        <w:br/>
        <w:t>cert_remaining_max_seconds=36000</w:t>
      </w:r>
      <w:r>
        <w:br/>
        <w:t>cert_total_max_seconds=36000</w:t>
      </w:r>
    </w:p>
    <w:p w:rsidR="001E4921" w:rsidRDefault="00CA0380">
      <w:r>
        <w:t xml:space="preserve">CN tokens are {user}, the directory-resolved {upn}, and {domain}; for example, </w:t>
      </w:r>
      <w:r>
        <w:rPr>
          <w:rFonts w:ascii="Consolas" w:eastAsia="Consolas" w:hAnsi="Consolas" w:cs="Consolas"/>
        </w:rPr>
        <w:t>Linux {user}</w:t>
      </w:r>
      <w:r>
        <w:t>. The result must be 1-64 printable ASCII characters. The CA may replace it. Preserve AD-built subject/SAN and identity restrictions.</w:t>
      </w:r>
    </w:p>
    <w:p w:rsidR="001E4921" w:rsidRDefault="00CA0380">
      <w:pPr>
        <w:pStyle w:val="SmallNote"/>
      </w:pPr>
      <w:r>
        <w:t>Both CES modes require service_principal and submitter.keytab for LDAP/GSSAPI. Pin the GC host and search base with gc_url and gc_base_dn. Manage local/AD account names centrally; no static users file is used.</w:t>
      </w:r>
    </w:p>
    <w:p w:rsidR="001E4921" w:rsidRDefault="00CA0380">
      <w:r>
        <w:br w:type="page"/>
      </w:r>
    </w:p>
    <w:p w:rsidR="001E4921" w:rsidRDefault="00CA0380">
      <w:pPr>
        <w:pStyle w:val="Heading1"/>
      </w:pPr>
      <w:r>
        <w:lastRenderedPageBreak/>
        <w:t>Build and Validate in a Lab</w:t>
      </w:r>
    </w:p>
    <w:tbl>
      <w:tblPr>
        <w:tblW w:w="10282" w:type="dxa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338"/>
      </w:tblGrid>
      <w:tr w:rsidR="001E4921">
        <w:trPr>
          <w:cantSplit/>
          <w:tblHeader/>
          <w:jc w:val="center"/>
        </w:trPr>
        <w:tc>
          <w:tcPr>
            <w:tcW w:w="1944" w:type="dxa"/>
            <w:shd w:val="clear" w:color="auto" w:fill="19374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Preparation</w:t>
            </w:r>
          </w:p>
        </w:tc>
        <w:tc>
          <w:tcPr>
            <w:tcW w:w="8338" w:type="dxa"/>
            <w:shd w:val="clear" w:color="auto" w:fill="19374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Required Action</w:t>
            </w:r>
          </w:p>
        </w:tc>
      </w:tr>
      <w:tr w:rsidR="001E4921">
        <w:trPr>
          <w:cantSplit/>
          <w:jc w:val="center"/>
        </w:trPr>
        <w:tc>
          <w:tcPr>
            <w:tcW w:w="1944" w:type="dxa"/>
            <w:shd w:val="clear" w:color="auto" w:fill="F1F4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color w:val="000000"/>
                <w:sz w:val="19"/>
              </w:rPr>
              <w:t>Linux build</w:t>
            </w:r>
          </w:p>
        </w:tc>
        <w:tc>
          <w:tcPr>
            <w:tcW w:w="8338" w:type="dxa"/>
            <w:shd w:val="clear" w:color="auto" w:fill="F1F4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/>
            </w:pPr>
            <w:r>
              <w:rPr>
                <w:color w:val="000000"/>
                <w:sz w:val="19"/>
              </w:rPr>
              <w:t>C++20 with std::format; OpenSSL 3, MIT Kerberos, curl, libxml2, OpenLDAP and Cyrus SASL libraries. Install MIT PKINIT and SASL GSSAPI runtime modules. See source/README.md.</w:t>
            </w:r>
          </w:p>
        </w:tc>
      </w:tr>
      <w:tr w:rsidR="001E4921">
        <w:trPr>
          <w:cantSplit/>
          <w:jc w:val="center"/>
        </w:trPr>
        <w:tc>
          <w:tcPr>
            <w:tcW w:w="194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color w:val="000000"/>
                <w:sz w:val="19"/>
              </w:rPr>
              <w:t>Windows enrollment</w:t>
            </w:r>
          </w:p>
        </w:tc>
        <w:tc>
          <w:tcPr>
            <w:tcW w:w="833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/>
            </w:pPr>
            <w:r>
              <w:rPr>
                <w:color w:val="000000"/>
                <w:sz w:val="19"/>
              </w:rPr>
              <w:t>Restrict the signing agent to the template and approved users. CES must allow initial enrollment via Negotiate or mTLS. Both modes need the directory keytab; mTLS also needs a TLS-client certificate. [3]</w:t>
            </w:r>
          </w:p>
        </w:tc>
      </w:tr>
      <w:tr w:rsidR="001E4921">
        <w:trPr>
          <w:cantSplit/>
          <w:jc w:val="center"/>
        </w:trPr>
        <w:tc>
          <w:tcPr>
            <w:tcW w:w="1944" w:type="dxa"/>
            <w:shd w:val="clear" w:color="auto" w:fill="F1F4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color w:val="000000"/>
                <w:sz w:val="19"/>
              </w:rPr>
              <w:t>DC policy and AES</w:t>
            </w:r>
          </w:p>
        </w:tc>
        <w:tc>
          <w:tcPr>
            <w:tcW w:w="8338" w:type="dxa"/>
            <w:shd w:val="clear" w:color="auto" w:fill="F1F4F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/>
            </w:pPr>
            <w:r>
              <w:rPr>
                <w:color w:val="000000"/>
                <w:sz w:val="19"/>
              </w:rPr>
              <w:t>Policy must permit a 10-hour initial TGT and 7-day renewal window; PKINIT can limit the initial grant by certificate expiry. Require AES256/AES128 for user and transport tickets. [1, 4, 7]</w:t>
            </w:r>
          </w:p>
        </w:tc>
      </w:tr>
      <w:tr w:rsidR="001E4921">
        <w:trPr>
          <w:cantSplit/>
          <w:jc w:val="center"/>
        </w:trPr>
        <w:tc>
          <w:tcPr>
            <w:tcW w:w="1944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CA0380">
            <w:pPr>
              <w:spacing w:after="0" w:line="240" w:lineRule="auto"/>
            </w:pPr>
            <w:r>
              <w:rPr>
                <w:color w:val="000000"/>
                <w:sz w:val="19"/>
              </w:rPr>
              <w:t>Installation boundary</w:t>
            </w:r>
          </w:p>
        </w:tc>
        <w:tc>
          <w:tcPr>
            <w:tcW w:w="8338" w:type="dxa"/>
            <w:shd w:val="clear" w:color="auto" w:fill="FFFFFF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1E4921" w:rsidRDefault="000456BF">
            <w:r>
              <w:t>Only craft is setuid; craft-maintain runs as the caller. The craft account/group holds enrollment credentials; callers use craft-users. Complete CA restrictions before enabling configuration.</w:t>
            </w:r>
          </w:p>
        </w:tc>
      </w:tr>
    </w:tbl>
    <w:p w:rsidR="001E4921" w:rsidRDefault="00CA0380">
      <w:pPr>
        <w:pStyle w:val="CodeBlock"/>
        <w:shd w:val="clear" w:color="auto" w:fill="F2F5F7"/>
        <w:spacing w:before="100"/>
      </w:pPr>
      <w:r>
        <w:t>cmake -S source -B build -DCMAKE_BUILD_TYPE=Release</w:t>
      </w:r>
      <w:r>
        <w:br/>
        <w:t>cmake --build build -j2</w:t>
      </w:r>
      <w:r>
        <w:br/>
        <w:t>ctest --test-dir build --output-on-failure</w:t>
      </w:r>
    </w:p>
    <w:p w:rsidR="001E4921" w:rsidRDefault="00CA0380">
      <w:pPr>
        <w:pStyle w:val="Heading2"/>
      </w:pPr>
      <w:r>
        <w:t>Acceptance Checks</w:t>
      </w:r>
    </w:p>
    <w:p w:rsidR="001E4921" w:rsidRDefault="00CA0380">
      <w:r>
        <w:t>1. Verify directory UPN lookup and CA audit identity. Inspect issued UPN, template, key, three EKUs, CN behavior, chain, CRLs and total validity. Confirm CA SID issuance and domain-controller mapping.</w:t>
      </w:r>
    </w:p>
    <w:p w:rsidR="001E4921" w:rsidRDefault="00CA0380">
      <w:r>
        <w:t xml:space="preserve">2. Invoke craft directly as an approved user. Inspect TGT start/end time, renewable/nonforwardable/nonproxiable flags, and AES session and ticket encryption with </w:t>
      </w:r>
      <w:r>
        <w:rPr>
          <w:rFonts w:ascii="Consolas" w:eastAsia="Consolas" w:hAnsi="Consolas" w:cs="Consolas"/>
        </w:rPr>
        <w:t>klist -ef</w:t>
      </w:r>
      <w:r>
        <w:t>.</w:t>
      </w:r>
    </w:p>
    <w:p w:rsidR="001E4921" w:rsidRDefault="00CA0380">
      <w:pPr>
        <w:pStyle w:val="CodeBlock"/>
        <w:shd w:val="clear" w:color="auto" w:fill="F2F5F7"/>
      </w:pPr>
      <w:r>
        <w:t>if cache=$(/usr/local/bin/craft); then</w:t>
      </w:r>
      <w:r>
        <w:br/>
        <w:t xml:space="preserve">    export KRB5CCNAME="$cache"</w:t>
      </w:r>
      <w:r>
        <w:br/>
        <w:t xml:space="preserve">    klist -ef -c "$KRB5CCNAME"</w:t>
      </w:r>
      <w:r>
        <w:br/>
        <w:t>fi</w:t>
      </w:r>
    </w:p>
    <w:p w:rsidR="001E4921" w:rsidRDefault="00CA0380">
      <w:r>
        <w:t>3. Confirm strict refusal of shortened grants preserves an existing cache. Test unauthorized users, changed names, wrong identities/keys/templates, RC4, expired CRLs, unsafe homes, concurrency and transport failure.</w:t>
      </w:r>
    </w:p>
    <w:p w:rsidR="001E4921" w:rsidRDefault="00CA0380">
      <w:r>
        <w:t>4. Test a real Kerberos application. Review AUTHPRIV/CA/CES/KDC logs and document credential rotation, CRL refresh, account lifecycle, cache protection and incident response.</w:t>
      </w:r>
    </w:p>
    <w:p w:rsidR="001E4921" w:rsidRDefault="00CA0380">
      <w:r>
        <w:t>Offline fixtures are synthetic. They do not establish live LDAP/CES/PKINIT interoperability or validate the installed setuid boundary. Run and record the current tests; complete source/TESTING.md in the lab.</w:t>
      </w:r>
    </w:p>
    <w:p w:rsidR="001E4921" w:rsidRDefault="00CA0380">
      <w:pPr>
        <w:pStyle w:val="Heading1"/>
        <w:pageBreakBefore/>
      </w:pPr>
      <w:r>
        <w:lastRenderedPageBreak/>
        <w:t>Long Running Jobs</w:t>
      </w:r>
    </w:p>
    <w:p w:rsidR="001E4921" w:rsidRDefault="008049C4">
      <w:r>
        <w:t>After building, install the maintainer as an ordinary executable alongside the launcher:</w:t>
      </w:r>
    </w:p>
    <w:p w:rsidR="001E4921" w:rsidRDefault="00CA0380">
      <w:pPr>
        <w:pStyle w:val="CodeBlock"/>
      </w:pPr>
      <w:r>
        <w:t>sudo install -o root -g craft-users -m 0750 \</w:t>
      </w:r>
      <w:r>
        <w:br/>
        <w:t xml:space="preserve">    build/craft-maintain /usr/local/bin/craft-maintain</w:t>
      </w:r>
    </w:p>
    <w:p w:rsidR="001E4921" w:rsidRDefault="008049C4">
      <w:r>
        <w:t>Requires Linux 5.3+, /proc and system /etc/krb5.conf with the enrollment realm/KDC and AES settings. Keep /etc/craft/krb5.conf and enrollment credentials protected. The scheduler must retain background processes and permit later setuid craft calls; no_new_privs blocks those calls.</w:t>
      </w:r>
    </w:p>
    <w:p w:rsidR="001E4921" w:rsidRDefault="008049C4">
      <w:r>
        <w:t>Start once as the batch user. Watch its shell or persistent job controller; exec preserves the shell PID.</w:t>
      </w:r>
    </w:p>
    <w:p w:rsidR="001E4921" w:rsidRDefault="008049C4">
      <w:pPr>
        <w:pStyle w:val="CodeBlock"/>
      </w:pPr>
      <w:r>
        <w:t>job_pid=$$</w:t>
      </w:r>
      <w:r>
        <w:br/>
        <w:t>cache=$(/usr/local/bin/craft-maintain --watch-pid "$job_pid") || exit "$?"</w:t>
      </w:r>
      <w:r>
        <w:br/>
        <w:t>export KRB5CCNAME="$cache"</w:t>
      </w:r>
    </w:p>
    <w:p w:rsidR="001E4921" w:rsidRDefault="008049C4">
      <w:r>
        <w:t>Renewals need no certificates; fresh enrollment occurs near the absolute renewal deadline. Ten-hour/seven-day grants normally renew at eight hours and reenroll around day six. Optional --max-duration 21d adds a cutoff; concurrent jobs share cache updates and enrollment backoff.</w:t>
      </w:r>
    </w:p>
    <w:p w:rsidR="001E4921" w:rsidRDefault="00CA0380">
      <w:pPr>
        <w:pStyle w:val="CodeBlock"/>
      </w:pPr>
      <w:r>
        <w:t>/usr/local/bin/craft-maintain --status --watch-pid "$job_pid"</w:t>
      </w:r>
      <w:r>
        <w:br/>
        <w:t>klist -ef -c "$KRB5CCNAME"</w:t>
      </w:r>
    </w:p>
    <w:p w:rsidR="001E4921" w:rsidRDefault="008049C4">
      <w:r>
        <w:t>Status reports ready/retrying/expired/stopped/failed, Unix ticket times and errors; a successful read does not prove credential health. Status files and the shared cache remain after exit. Refresh failures preserve cached credentials and retry; later failures do not stop the job.</w:t>
      </w:r>
    </w:p>
    <w:p w:rsidR="001E4921" w:rsidRDefault="008049C4">
      <w:r>
        <w:t>Test renewal after certificate expiry, renewal-window rollover, reconnects, KDC/CES outages and concurrent jobs with the actual scheduler. Confirm maintenance lasts for the job and stops with its watched PID. Keep CRLs and enrollment credentials current; offline checks do not establish live interoperability.</w:t>
      </w:r>
    </w:p>
    <w:p w:rsidR="001E4921" w:rsidRDefault="00CA0380">
      <w:pPr>
        <w:pStyle w:val="Heading2"/>
      </w:pPr>
      <w:r>
        <w:t>Primary References</w:t>
      </w:r>
    </w:p>
    <w:p w:rsidR="001E4921" w:rsidRDefault="00CA0380">
      <w:pPr>
        <w:pStyle w:val="SmallNote"/>
      </w:pPr>
      <w:r>
        <w:t xml:space="preserve">[1] </w:t>
      </w:r>
      <w:hyperlink r:id="rId9" w:anchor="section-3.2.3">
        <w:r>
          <w:rPr>
            <w:color w:val="087E8B"/>
          </w:rPr>
          <w:t>RFC 4556, sections 3.2.2–3.2.3: client certificate usage and ticket/key lifetime</w:t>
        </w:r>
      </w:hyperlink>
    </w:p>
    <w:p w:rsidR="001E4921" w:rsidRDefault="00CA0380">
      <w:pPr>
        <w:pStyle w:val="SmallNote"/>
      </w:pPr>
      <w:r>
        <w:t xml:space="preserve">[2] </w:t>
      </w:r>
      <w:hyperlink r:id="rId10">
        <w:r>
          <w:rPr>
            <w:color w:val="087E8B"/>
          </w:rPr>
          <w:t>Microsoft MS-WCCE: CA certificate SID security extension</w:t>
        </w:r>
      </w:hyperlink>
    </w:p>
    <w:p w:rsidR="001E4921" w:rsidRDefault="00CA0380">
      <w:pPr>
        <w:pStyle w:val="SmallNote"/>
      </w:pPr>
      <w:r>
        <w:t xml:space="preserve">[3] </w:t>
      </w:r>
      <w:hyperlink r:id="rId11">
        <w:r>
          <w:rPr>
            <w:color w:val="087E8B"/>
          </w:rPr>
          <w:t>Microsoft: Configure Certificate Enrollment Web Service</w:t>
        </w:r>
      </w:hyperlink>
    </w:p>
    <w:p w:rsidR="001E4921" w:rsidRDefault="00CA0380">
      <w:pPr>
        <w:pStyle w:val="SmallNote"/>
      </w:pPr>
      <w:r>
        <w:t xml:space="preserve">[4] </w:t>
      </w:r>
      <w:hyperlink r:id="rId12">
        <w:r>
          <w:rPr>
            <w:color w:val="087E8B"/>
          </w:rPr>
          <w:t>MIT Kerberos: encryption types, ticket lifetime and KDC options</w:t>
        </w:r>
      </w:hyperlink>
    </w:p>
    <w:p w:rsidR="001E4921" w:rsidRDefault="00CA0380">
      <w:pPr>
        <w:pStyle w:val="SmallNote"/>
      </w:pPr>
      <w:r>
        <w:t xml:space="preserve">[5] </w:t>
      </w:r>
      <w:hyperlink r:id="rId13">
        <w:r>
          <w:rPr>
            <w:color w:val="087E8B"/>
          </w:rPr>
          <w:t>MIT Kerberos: PKINIT configuration and Active Directory considerations</w:t>
        </w:r>
      </w:hyperlink>
    </w:p>
    <w:p w:rsidR="001E4921" w:rsidRDefault="00CA0380">
      <w:pPr>
        <w:pStyle w:val="SmallNote"/>
      </w:pPr>
      <w:r>
        <w:t xml:space="preserve">[6] </w:t>
      </w:r>
      <w:hyperlink r:id="rId14">
        <w:r>
          <w:rPr>
            <w:color w:val="087E8B"/>
          </w:rPr>
          <w:t>Microsoft KB5014754: strong certificate-to-account mapping</w:t>
        </w:r>
      </w:hyperlink>
    </w:p>
    <w:p w:rsidR="001E4921" w:rsidRDefault="00CA0380">
      <w:pPr>
        <w:pStyle w:val="SmallNote"/>
      </w:pPr>
      <w:r>
        <w:t xml:space="preserve">[7] </w:t>
      </w:r>
      <w:hyperlink r:id="rId15">
        <w:r>
          <w:rPr>
            <w:color w:val="087E8B"/>
          </w:rPr>
          <w:t>Microsoft: Maximum lifetime for user ticket (hours)</w:t>
        </w:r>
      </w:hyperlink>
    </w:p>
    <w:p w:rsidR="001E4921" w:rsidRDefault="00CA0380">
      <w:pPr>
        <w:pStyle w:val="SmallNote"/>
      </w:pPr>
      <w:r>
        <w:t>Source implementation and test suite: see source/ in the repository.</w:t>
      </w:r>
    </w:p>
    <w:p w:rsidR="001E4921" w:rsidRDefault="00CA0380">
      <w:pPr>
        <w:pStyle w:val="Heading2"/>
      </w:pPr>
      <w:r>
        <w:t>License</w:t>
      </w:r>
    </w:p>
    <w:p w:rsidR="001E4921" w:rsidRDefault="00CA0380">
      <w:pPr>
        <w:pStyle w:val="SmallNote"/>
      </w:pPr>
      <w:r>
        <w:t>CRAFT source code, scripts, configuration examples, and documentation are licensed under the GNU General Public License, version 3 (SPDX: GPL-3.0-only). See the repository LICENSE file or https://www.gnu.org/licenses/gpl-3.0.html for the full terms. This material is provided without warranty, as described in the license.</w:t>
      </w:r>
    </w:p>
    <w:sectPr w:rsidR="001E4921" w:rsidSect="00034616">
      <w:headerReference w:type="default" r:id="rId16"/>
      <w:footerReference w:type="default" r:id="rId17"/>
      <w:pgSz w:w="12240" w:h="15840"/>
      <w:pgMar w:top="893" w:right="979" w:bottom="864" w:left="979" w:header="360" w:footer="38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601C6" w:rsidRDefault="001601C6">
      <w:pPr>
        <w:spacing w:after="0" w:line="240" w:lineRule="auto"/>
      </w:pPr>
      <w:r>
        <w:separator/>
      </w:r>
    </w:p>
  </w:endnote>
  <w:endnote w:type="continuationSeparator" w:id="0">
    <w:p w:rsidR="001601C6" w:rsidRDefault="001601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E4921" w:rsidRDefault="00CA0380">
    <w:pPr>
      <w:pStyle w:val="SmallNote"/>
      <w:jc w:val="right"/>
    </w:pPr>
    <w:r>
      <w:fldChar w:fldCharType="begin"/>
    </w:r>
    <w:r>
      <w:instrText>PAGE</w:instrText>
    </w:r>
    <w:r>
      <w:fldChar w:fldCharType="separate"/>
    </w:r>
    <w:r w:rsidR="00476CB6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601C6" w:rsidRDefault="001601C6">
      <w:pPr>
        <w:spacing w:after="0" w:line="240" w:lineRule="auto"/>
      </w:pPr>
      <w:r>
        <w:separator/>
      </w:r>
    </w:p>
  </w:footnote>
  <w:footnote w:type="continuationSeparator" w:id="0">
    <w:p w:rsidR="001601C6" w:rsidRDefault="001601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1E4921" w:rsidRDefault="00CA0380">
    <w:pPr>
      <w:pStyle w:val="SmallNote"/>
    </w:pPr>
    <w:r>
      <w:rPr>
        <w:color w:val="5B6770"/>
      </w:rPr>
      <w:t>CRAFT     •     02  /  Configuration &amp; Validation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5339805">
    <w:abstractNumId w:val="8"/>
  </w:num>
  <w:num w:numId="2" w16cid:durableId="1761681788">
    <w:abstractNumId w:val="6"/>
  </w:num>
  <w:num w:numId="3" w16cid:durableId="522133427">
    <w:abstractNumId w:val="5"/>
  </w:num>
  <w:num w:numId="4" w16cid:durableId="1288462947">
    <w:abstractNumId w:val="4"/>
  </w:num>
  <w:num w:numId="5" w16cid:durableId="553351103">
    <w:abstractNumId w:val="7"/>
  </w:num>
  <w:num w:numId="6" w16cid:durableId="1197742585">
    <w:abstractNumId w:val="3"/>
  </w:num>
  <w:num w:numId="7" w16cid:durableId="1928996443">
    <w:abstractNumId w:val="2"/>
  </w:num>
  <w:num w:numId="8" w16cid:durableId="955870726">
    <w:abstractNumId w:val="1"/>
  </w:num>
  <w:num w:numId="9" w16cid:durableId="3120253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56BF"/>
    <w:rsid w:val="0006063C"/>
    <w:rsid w:val="0015074B"/>
    <w:rsid w:val="001601C6"/>
    <w:rsid w:val="001E4921"/>
    <w:rsid w:val="0029639D"/>
    <w:rsid w:val="00326F90"/>
    <w:rsid w:val="00476CB6"/>
    <w:rsid w:val="005060B4"/>
    <w:rsid w:val="008049C4"/>
    <w:rsid w:val="009A5D49"/>
    <w:rsid w:val="00AA1D8D"/>
    <w:rsid w:val="00B47730"/>
    <w:rsid w:val="00CA0380"/>
    <w:rsid w:val="00CB0664"/>
    <w:rsid w:val="00D7487D"/>
    <w:rsid w:val="00E36A0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566A2AF5-3CCF-4E91-AC7A-5E6A9B0B60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5B6770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00" w:line="240" w:lineRule="auto"/>
    </w:pPr>
    <w:rPr>
      <w:rFonts w:ascii="Consolas" w:eastAsia="Consolas" w:hAnsi="Consolas" w:cs="Consolas"/>
      <w:sz w:val="18"/>
    </w:rPr>
  </w:style>
  <w:style w:type="paragraph" w:customStyle="1" w:styleId="SmallNote">
    <w:name w:val="Small Note"/>
    <w:pPr>
      <w:spacing w:after="60"/>
    </w:pPr>
    <w:rPr>
      <w:rFonts w:ascii="Calibri" w:hAnsi="Calibri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eb.mit.edu/kerberos/krb5-latest/doc/admin/pkinit.html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eb.mit.edu/kerberos/krb5-latest/doc/admin/conf_files/krb5_conf.html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earn.microsoft.com/en-us/windows-server/identity/ad-cs/configure-certificate-enrollment-web-service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previous-versions/windows/it-pro/windows-10/security/threat-protection/security-policy-settings/maximum-lifetime-for-user-ticket" TargetMode="External"/><Relationship Id="rId10" Type="http://schemas.openxmlformats.org/officeDocument/2006/relationships/hyperlink" Target="https://learn.microsoft.com/en-us/openspecs/windows_protocols/ms-wcce/e563cff8-1af6-4e6f-a655-7571ca482e71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atatracker.ietf.org/doc/html/rfc4556" TargetMode="External"/><Relationship Id="rId14" Type="http://schemas.openxmlformats.org/officeDocument/2006/relationships/hyperlink" Target="https://support.microsoft.com/en-us/servicing/os/windows-server/2022/05/kb5014754-certificate-based-authentication-changes-on-windows-domain-controll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1111</Words>
  <Characters>6333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CRAFT - Configuration and Validation</dc:title>
  <dc:subject>CRAFT - Certificate Request Agent For Tickets</dc:subject>
  <dc:creator/>
  <cp:keywords>CRAFT, certificate enrollment, PKINIT, Kerberos, C++20</cp:keywords>
  <dc:description>CRAFT naming revision. See the bundle validation records for the test scope.</dc:description>
  <cp:lastModifiedBy>XXXXX</cp:lastModifiedBy>
  <cp:revision>4</cp:revision>
  <dcterms:created xsi:type="dcterms:W3CDTF">2013-12-23T23:15:00Z</dcterms:created>
  <dcterms:modified xsi:type="dcterms:W3CDTF">2026-09-30T09:12:00Z</dcterms:modified>
  <cp:category/>
</cp:coreProperties>
</file>