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CRAFT obtains Kerberos credentials from Linux without storing the user's AD password. Modes 1-3 obtain a user TGT through PKINIT. Mode 4 uses broker constrained delegation to obtain only approved service tickets. Domain membership is not required.</w:t>
      </w:r>
    </w:p>
    <w:p>
      <w:pPr>
        <w:pStyle w:val="Heading1"/>
      </w:pPr>
      <w:r>
        <w:t>Choose an operating mode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32">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33">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34">
              <w:r>
                <w:rPr>
                  <w:color w:val="315DC0"/>
                  <w:u w:val="single"/>
                </w:rPr>
                <w:t>Mode 3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4  Service tickets only</w:t>
            </w:r>
          </w:p>
        </w:tc>
        <w:tc>
          <w:tcPr>
            <w:tcW w:type="dxa" w:w="5976"/>
            <w:vAlign w:val="center"/>
            <w:tcMar>
              <w:top w:w="100" w:type="dxa"/>
              <w:left w:w="100" w:type="dxa"/>
              <w:bottom w:w="100" w:type="dxa"/>
              <w:right w:w="100" w:type="dxa"/>
            </w:tcMar>
            <w:shd w:fill="FFFFFF"/>
          </w:tcPr>
          <w:p>
            <w:pPr>
              <w:spacing w:after="40" w:before="40" w:line="252" w:lineRule="auto"/>
            </w:pPr>
            <w:r>
              <w:rPr>
                <w:sz w:val="20"/>
              </w:rPr>
              <w:t>A dedicated broker uses S4U2Self and S4U2Proxy. AD restricts the target services; the user receives no TGT or broker credentials.</w:t>
            </w:r>
          </w:p>
        </w:tc>
        <w:tc>
          <w:tcPr>
            <w:tcW w:type="dxa" w:w="1930"/>
            <w:vAlign w:val="center"/>
            <w:tcMar>
              <w:top w:w="100" w:type="dxa"/>
              <w:left w:w="100" w:type="dxa"/>
              <w:bottom w:w="100" w:type="dxa"/>
              <w:right w:w="100" w:type="dxa"/>
            </w:tcMar>
            <w:shd w:fill="FFFFFF"/>
          </w:tcPr>
          <w:p>
            <w:pPr>
              <w:spacing w:after="40" w:before="40" w:line="252" w:lineRule="auto"/>
            </w:pPr>
            <w:hyperlink r:id="rId35">
              <w:r>
                <w:rPr>
                  <w:color w:val="315DC0"/>
                  <w:u w:val="single"/>
                </w:rPr>
                <w:t>Mode 4 setup</w:t>
              </w:r>
            </w:hyperlink>
          </w:p>
        </w:tc>
      </w:tr>
    </w:tbl>
    <w:p>
      <w:pPr>
        <w:spacing w:after="0"/>
      </w:pPr>
    </w:p>
    <w:p>
      <w:pPr>
        <w:pStyle w:val="Heading1"/>
      </w:pPr>
      <w:r>
        <w:t>How CRAFT selects the mode</w:t>
      </w:r>
    </w:p>
    <w:p>
      <w:r>
        <w:t>mechanism=constrained_delegation selects mode 4 and ignores home certificates. Otherwise a complete NSS-home ~/.config/craft/user.pem and user.key pair selects mode 3. Partial or invalid pairs fail. Only an absent pair selects enrollment or Key Trust from mechanism; failures never switch mechanisms.</w:t>
      </w:r>
    </w:p>
    <w:p>
      <w:r>
        <w:t>Mode 3 uses ordinary executables. Modes 1, 2 and 4 require the setuid launcher, dedicated craft account, craft-users caller group and private /run/craft. Users run craft directly without sudo. Network work runs outside root; the caller publishes the cache. CRAFT does not perform an MFA challenge.</w:t>
      </w:r>
    </w:p>
    <w:p>
      <w:hyperlink r:id="rId36">
        <w:r>
          <w:rPr>
            <w:color w:val="315DC0"/>
            <w:u w:val="single"/>
          </w:rPr>
          <w:t>Mode selection diagram</w:t>
        </w:r>
      </w:hyperlink>
      <w:r>
        <w:t xml:space="preserve">  |  </w:t>
      </w:r>
      <w:hyperlink r:id="rId41">
        <w:r>
          <w:rPr>
            <w:color w:val="315DC0"/>
            <w:u w:val="single"/>
          </w:rPr>
          <w:t>Build and install</w:t>
        </w:r>
      </w:hyperlink>
    </w:p>
    <w:p>
      <w:pPr>
        <w:sectPr>
          <w:headerReference w:type="default" r:id="rId30"/>
          <w:footerReference w:type="default" r:id="rId31"/>
          <w:pgSz w:w="12240" w:h="15840"/>
          <w:pgMar w:top="893" w:right="979" w:bottom="893" w:left="979" w:header="360" w:footer="360" w:gutter="0"/>
          <w:cols w:space="720"/>
          <w:docGrid w:linePitch="360"/>
        </w:sectPr>
      </w:pPr>
    </w:p>
    <w:p>
      <w:pPr>
        <w:pStyle w:val="Heading1"/>
      </w:pPr>
      <w:r>
        <w:t>Mode 1 privileged certificate enrollment</w:t>
      </w:r>
    </w:p>
    <w:p>
      <w:hyperlink r:id="rId32">
        <w:r>
          <w:rPr>
            <w:color w:val="315DC0"/>
            <w:u w:val="single"/>
          </w:rPr>
          <w:t>Complete setup instructions</w:t>
        </w:r>
      </w:hyperlink>
      <w:r>
        <w:t xml:space="preserve">  |  </w:t>
      </w:r>
      <w:hyperlink r:id="rId42">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33">
        <w:r>
          <w:rPr>
            <w:color w:val="315DC0"/>
            <w:u w:val="single"/>
          </w:rPr>
          <w:t>Complete setup instructions</w:t>
        </w:r>
      </w:hyperlink>
      <w:r>
        <w:t xml:space="preserve">  |  </w:t>
      </w:r>
      <w:hyperlink r:id="rId44">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34">
        <w:r>
          <w:rPr>
            <w:color w:val="315DC0"/>
            <w:u w:val="single"/>
          </w:rPr>
          <w:t>Complete setup instructions</w:t>
        </w:r>
      </w:hyperlink>
      <w:r>
        <w:t xml:space="preserve">  |  </w:t>
      </w:r>
      <w:hyperlink r:id="rId46">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Mode 4 service tickets through constrained delegation</w:t>
      </w:r>
    </w:p>
    <w:p>
      <w:hyperlink r:id="rId35">
        <w:r>
          <w:rPr>
            <w:color w:val="315DC0"/>
            <w:u w:val="single"/>
          </w:rPr>
          <w:t>Complete setup instructions</w:t>
        </w:r>
      </w:hyperlink>
      <w:r>
        <w:t xml:space="preserve">  |  </w:t>
      </w:r>
      <w:hyperlink r:id="rId48">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4" name="Picture 4" descr="A private broker TGT authorizes protocol transition and constrained delegation. Only validated tickets for every configured service are published. Home PEM files are ignored; there is no PKINIT or directory write."/>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8686800" cy="5429250"/>
                    </a:xfrm>
                    <a:prstGeom prst="rect"/>
                  </pic:spPr>
                </pic:pic>
              </a:graphicData>
            </a:graphic>
          </wp:inline>
        </w:drawing>
      </w:r>
    </w:p>
    <w:p>
      <w:pPr>
        <w:pStyle w:val="Caption"/>
        <w:spacing w:after="0"/>
      </w:pPr>
      <w:r>
        <w:t>A private broker TGT authorizes protocol transition and constrained delegation. Only validated tickets for every configured service are published. Home PEM files are ignored; there is no PKINIT or directory write.</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credential principals,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 public key (default 3072 bits).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4  Service tickets</w:t>
            </w:r>
          </w:p>
        </w:tc>
        <w:tc>
          <w:tcPr>
            <w:tcW w:type="dxa" w:w="4464"/>
            <w:vAlign w:val="center"/>
            <w:tcMar>
              <w:top w:w="100" w:type="dxa"/>
              <w:left w:w="100" w:type="dxa"/>
              <w:bottom w:w="100" w:type="dxa"/>
              <w:right w:w="100" w:type="dxa"/>
            </w:tcMar>
            <w:shd w:fill="FFFFFF"/>
          </w:tcPr>
          <w:p>
            <w:pPr>
              <w:spacing w:after="40" w:before="40" w:line="252" w:lineRule="auto"/>
            </w:pPr>
            <w:r>
              <w:rPr>
                <w:sz w:val="20"/>
              </w:rPr>
              <w:t>Broker AES keytab, protocol transition and explicit AD target SPNs. No certificate authentication or directory write.</w:t>
            </w:r>
          </w:p>
        </w:tc>
        <w:tc>
          <w:tcPr>
            <w:tcW w:type="dxa" w:w="4234"/>
            <w:vAlign w:val="center"/>
            <w:tcMar>
              <w:top w:w="100" w:type="dxa"/>
              <w:left w:w="100" w:type="dxa"/>
              <w:bottom w:w="100" w:type="dxa"/>
              <w:right w:w="100" w:type="dxa"/>
            </w:tcMar>
            <w:shd w:fill="FFFFFF"/>
          </w:tcPr>
          <w:p>
            <w:pPr>
              <w:spacing w:after="40" w:before="40" w:line="252" w:lineRule="auto"/>
            </w:pPr>
            <w:r>
              <w:rPr>
                <w:sz w:val="20"/>
              </w:rPr>
              <w:t>Broker keytab stays protected under /etc/craft. Only final user service tickets and their session keys persist in the user cache.</w:t>
            </w:r>
          </w:p>
        </w:tc>
      </w:tr>
    </w:tbl>
    <w:p>
      <w:pPr>
        <w:spacing w:after="0"/>
      </w:pPr>
    </w:p>
    <w:p>
      <w:r>
        <w:t>Every mode atomically publishes a caller-owned mode-0600 .krb5cc_craft in the NSS home. It contains a user TGT in modes 1-3, or only selected service tickets in mode 4, with session keys but no certificate, private key or broker evidence. Modes 1-3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50">
        <w:r>
          <w:rPr>
            <w:color w:val="315DC0"/>
            <w:u w:val="single"/>
          </w:rPr>
          <w:t>Enrollment-agent restrictions</w:t>
        </w:r>
      </w:hyperlink>
      <w:r>
        <w:t xml:space="preserve">  |  </w:t>
      </w:r>
      <w:hyperlink r:id="rId51">
        <w:r>
          <w:rPr>
            <w:color w:val="315DC0"/>
            <w:u w:val="single"/>
          </w:rPr>
          <w:t>Key Trust delegation</w:t>
        </w:r>
      </w:hyperlink>
      <w:r>
        <w:t xml:space="preserve">  |  </w:t>
      </w:r>
      <w:hyperlink r:id="rId52">
        <w:r>
          <w:rPr>
            <w:color w:val="315DC0"/>
            <w:u w:val="single"/>
          </w:rPr>
          <w:t>Broker delegation</w:t>
        </w:r>
      </w:hyperlink>
    </w:p>
    <w:p>
      <w:pPr>
        <w:pStyle w:val="Heading1"/>
        <w:pageBreakBefore/>
      </w:pPr>
      <w:r>
        <w:t>Ticket lifetimes and everyday use</w:t>
      </w:r>
    </w:p>
    <w:p>
      <w:r>
        <w:t>Modes 1-3 request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Modes 1-3 renew from the cached TGT and authenticate afresh near the renewal deadline. Mode 4 refreshes the complete service batch through its broker before the earliest expiry. Fresh authentication always uses the configured mode selection.</w:t>
      </w:r>
    </w:p>
    <w:p>
      <w:r>
        <w:t>Install the maintainer without setuid/setgid. Protect system Kerberos configuration, and watch a shell or controller that lasts for the job. The scheduler must retain background processes. Modes 1, 2 and 4 need setuid access for fresh authentication; home refresh works under no_new_privs. --max-duration 21d adds a cutoff. Concurrent jobs for one UID share the cache and 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53">
        <w:r>
          <w:rPr>
            <w:color w:val="315DC0"/>
            <w:u w:val="single"/>
          </w:rPr>
          <w:t>Maintenance setup and status</w:t>
        </w:r>
      </w:hyperlink>
      <w:r>
        <w:t xml:space="preserve">  |  </w:t>
      </w:r>
      <w:hyperlink r:id="rId54">
        <w:r>
          <w:rPr>
            <w:color w:val="315DC0"/>
            <w:u w:val="single"/>
          </w:rPr>
          <w:t>Credential timing diagram</w:t>
        </w:r>
      </w:hyperlink>
    </w:p>
    <w:p>
      <w:pPr>
        <w:pStyle w:val="Heading1"/>
        <w:pageBreakBefore/>
      </w:pPr>
      <w:r>
        <w:t>Operation and authorization</w:t>
      </w:r>
    </w:p>
    <w:p>
      <w:r>
        <w:t>Mode 4 uses a dedicated broker with protocol transition and account-based constrained delegation to an exact list of target SPNs. AD limits target services, not the users the broker can impersonate. Protect the keytab, restrict local craft-users membership and control Linux UID/name assignment. Exclude sensitive users through domain delegation policy and test denial against the deployed KDC.</w:t>
      </w:r>
    </w:p>
    <w:p>
      <w:r>
        <w:t>Services sharing an AD account and key are not isolated by their SPN labels. Use separate target service identities where isolation matters. Applications must request the configured service names exactly, including case; aliases or additional services need explicit configuration and AD authorization. A service-only cache cannot acquire arbitrary tickets.</w:t>
      </w:r>
    </w:p>
    <w:p>
      <w:r>
        <w:t>All modes require a working host logging socket at /dev/log. Administrators maintain CRLs, review authorization scope and protect persistent credentials. Setting enabled=no stops fresh acquisition; stop active maintainers separately to end renewal. Issued tickets and service sessions remain subject to domain policy.</w:t>
      </w:r>
    </w:p>
    <w:p>
      <w:r>
        <w:t>Mode 4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hyperlink r:id="rId55">
        <w:r>
          <w:rPr>
            <w:color w:val="315DC0"/>
            <w:u w:val="single"/>
          </w:rPr>
          <w:t>Audit and troubleshooting</w:t>
        </w:r>
      </w:hyperlink>
      <w:r>
        <w:t xml:space="preserve">  |  </w:t>
      </w:r>
      <w:hyperlink r:id="rId56">
        <w:r>
          <w:rPr>
            <w:color w:val="315DC0"/>
            <w:u w:val="single"/>
          </w:rPr>
          <w:t>Operational disable</w:t>
        </w:r>
      </w:hyperlink>
    </w:p>
    <w:p>
      <w:pPr>
        <w:pStyle w:val="Heading2"/>
      </w:pPr>
      <w:r>
        <w:t>References and license</w:t>
      </w:r>
    </w:p>
    <w:p>
      <w:hyperlink r:id="rId57">
        <w:r>
          <w:rPr>
            <w:color w:val="315DC0"/>
            <w:u w:val="single"/>
          </w:rPr>
          <w:t>Install and configure</w:t>
        </w:r>
      </w:hyperlink>
      <w:r>
        <w:t xml:space="preserve">  |  </w:t>
      </w:r>
      <w:hyperlink r:id="rId58">
        <w:r>
          <w:rPr>
            <w:color w:val="315DC0"/>
            <w:u w:val="single"/>
          </w:rPr>
          <w:t>Security and operations</w:t>
        </w:r>
      </w:hyperlink>
      <w:r>
        <w:t xml:space="preserve">  |  </w:t>
      </w:r>
      <w:hyperlink r:id="rId59">
        <w:r>
          <w:rPr>
            <w:color w:val="315DC0"/>
            <w:u w:val="single"/>
          </w:rPr>
          <w:t>Acceptance checks</w:t>
        </w:r>
      </w:hyperlink>
    </w:p>
    <w:p>
      <w:hyperlink r:id="rId60">
        <w:r>
          <w:rPr>
            <w:color w:val="315DC0"/>
            <w:u w:val="single"/>
          </w:rPr>
          <w:t>PKINIT specification</w:t>
        </w:r>
      </w:hyperlink>
      <w:r>
        <w:t xml:space="preserve">  |  </w:t>
      </w:r>
      <w:hyperlink r:id="rId61">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62">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37" Type="http://schemas.openxmlformats.org/officeDocument/2006/relationships/header" Target="header2.xml"/><Relationship Id="rId38" Type="http://schemas.openxmlformats.org/officeDocument/2006/relationships/footer" Target="footer2.xml"/><Relationship Id="rId39" Type="http://schemas.openxmlformats.org/officeDocument/2006/relationships/header" Target="header3.xml"/><Relationship Id="rId40"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yperlink" Target="https://github.com/NoMoreFood/craft/blob/main/source/README.md#mode-1-setup-privileged-certificate-enrollment" TargetMode="External"/><Relationship Id="rId33" Type="http://schemas.openxmlformats.org/officeDocument/2006/relationships/hyperlink" Target="https://github.com/NoMoreFood/craft/blob/main/source/README.md#mode-2-setup-privileged-credential-linking" TargetMode="External"/><Relationship Id="rId34" Type="http://schemas.openxmlformats.org/officeDocument/2006/relationships/hyperlink" Target="https://github.com/NoMoreFood/craft/blob/main/source/README.md#mode-3-setup-unprivileged-windows-exported-certificate" TargetMode="External"/><Relationship Id="rId35" Type="http://schemas.openxmlformats.org/officeDocument/2006/relationships/hyperlink" Target="https://github.com/NoMoreFood/craft/blob/main/source/README.md#mode-4-setup-service-tickets-through-constrained-delegation" TargetMode="External"/><Relationship Id="rId36" Type="http://schemas.openxmlformats.org/officeDocument/2006/relationships/hyperlink" Target="https://github.com/NoMoreFood/craft/blob/main/docs/diagrams/01-system-overview.svg" TargetMode="External"/><Relationship Id="rId41" Type="http://schemas.openxmlformats.org/officeDocument/2006/relationships/hyperlink" Target="https://github.com/NoMoreFood/craft/blob/main/source/README.md#build" TargetMode="External"/><Relationship Id="rId42" Type="http://schemas.openxmlformats.org/officeDocument/2006/relationships/hyperlink" Target="https://github.com/NoMoreFood/craft/blob/main/docs/diagrams/02-enrollment-sequence.svg" TargetMode="External"/><Relationship Id="rId43" Type="http://schemas.openxmlformats.org/officeDocument/2006/relationships/image" Target="media/image2.png"/><Relationship Id="rId44" Type="http://schemas.openxmlformats.org/officeDocument/2006/relationships/hyperlink" Target="https://github.com/NoMoreFood/craft/blob/main/docs/diagrams/03-credential-linking-sequence.svg" TargetMode="External"/><Relationship Id="rId45" Type="http://schemas.openxmlformats.org/officeDocument/2006/relationships/image" Target="media/image4.png"/><Relationship Id="rId46" Type="http://schemas.openxmlformats.org/officeDocument/2006/relationships/hyperlink" Target="https://github.com/NoMoreFood/craft/blob/main/docs/diagrams/04-windows-exported-certificate.svg" TargetMode="External"/><Relationship Id="rId47" Type="http://schemas.openxmlformats.org/officeDocument/2006/relationships/image" Target="media/image7.png"/><Relationship Id="rId48" Type="http://schemas.openxmlformats.org/officeDocument/2006/relationships/hyperlink" Target="https://github.com/NoMoreFood/craft/blob/main/docs/diagrams/07-constrained-delegation.svg" TargetMode="External"/><Relationship Id="rId49" Type="http://schemas.openxmlformats.org/officeDocument/2006/relationships/image" Target="media/image8.png"/><Relationship Id="rId50" Type="http://schemas.openxmlformats.org/officeDocument/2006/relationships/hyperlink" Target="https://github.com/NoMoreFood/craft/blob/main/docs/03-Enrollment-Agent-Restrictions.md" TargetMode="External"/><Relationship Id="rId51" Type="http://schemas.openxmlformats.org/officeDocument/2006/relationships/hyperlink" Target="https://github.com/NoMoreFood/craft/blob/main/docs/04-Key-Credential-Link-Delegation.md" TargetMode="External"/><Relationship Id="rId52" Type="http://schemas.openxmlformats.org/officeDocument/2006/relationships/hyperlink" Target="https://github.com/NoMoreFood/craft/blob/main/docs/05-Constrained-Delegation.md" TargetMode="External"/><Relationship Id="rId53" Type="http://schemas.openxmlformats.org/officeDocument/2006/relationships/hyperlink" Target="https://github.com/NoMoreFood/craft/blob/main/source/README.md#long-running-jobs" TargetMode="External"/><Relationship Id="rId54" Type="http://schemas.openxmlformats.org/officeDocument/2006/relationships/hyperlink" Target="https://github.com/NoMoreFood/craft/blob/main/docs/diagrams/05-credential-timing.svg" TargetMode="External"/><Relationship Id="rId55" Type="http://schemas.openxmlformats.org/officeDocument/2006/relationships/hyperlink" Target="https://github.com/NoMoreFood/craft/blob/main/source/README.md#audit-records-and-diagnostics" TargetMode="External"/><Relationship Id="rId56" Type="http://schemas.openxmlformats.org/officeDocument/2006/relationships/hyperlink" Target="https://github.com/NoMoreFood/craft/blob/main/source/SECURITY.md#immediate-disable" TargetMode="External"/><Relationship Id="rId57" Type="http://schemas.openxmlformats.org/officeDocument/2006/relationships/hyperlink" Target="https://github.com/NoMoreFood/craft/blob/main/source/README.md" TargetMode="External"/><Relationship Id="rId58" Type="http://schemas.openxmlformats.org/officeDocument/2006/relationships/hyperlink" Target="https://github.com/NoMoreFood/craft/blob/main/source/SECURITY.md" TargetMode="External"/><Relationship Id="rId59" Type="http://schemas.openxmlformats.org/officeDocument/2006/relationships/hyperlink" Target="https://github.com/NoMoreFood/craft/blob/main/source/TESTING.md" TargetMode="External"/><Relationship Id="rId60" Type="http://schemas.openxmlformats.org/officeDocument/2006/relationships/hyperlink" Target="https://www.rfc-editor.org/rfc/rfc4556" TargetMode="External"/><Relationship Id="rId61" Type="http://schemas.openxmlformats.org/officeDocument/2006/relationships/hyperlink" Target="https://web.mit.edu/kerberos/krb5-latest/doc/admin/pkinit.html" TargetMode="External"/><Relationship Id="rId62"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