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b/>
          <w:color w:val="1F4E79"/>
          <w:sz w:val="52"/>
        </w:rPr>
        <w:t>Découpage en 8 phases</w:t>
      </w:r>
    </w:p>
    <w:p>
      <w:pPr>
        <w:spacing w:after="80"/>
        <w:jc w:val="center"/>
      </w:pPr>
      <w:r>
        <w:rPr>
          <w:color w:val="5B5B5B"/>
          <w:sz w:val="28"/>
        </w:rPr>
        <w:t>Gestion de projet informatique — Travail pratique</w:t>
      </w:r>
    </w:p>
    <w:p>
      <w:pPr>
        <w:spacing w:after="80"/>
        <w:jc w:val="center"/>
      </w:pPr>
      <w:r>
        <w:rPr>
          <w:i/>
          <w:color w:val="7F7F7F"/>
          <w:sz w:val="22"/>
        </w:rPr>
        <w:t>Application concrète : Développement d'une application mobile de réservation de salle</w:t>
      </w:r>
    </w:p>
    <w:p>
      <w:pPr>
        <w:spacing w:before="200"/>
        <w:jc w:val="center"/>
      </w:pPr>
      <w:r>
        <w:rPr>
          <w:color w:val="5B5B5B"/>
          <w:sz w:val="22"/>
        </w:rPr>
        <w:t>Jonathan Patoine | Collège Cumberland | 2026</w:t>
      </w:r>
    </w:p>
    <w:p>
      <w:pPr>
        <w:spacing w:before="40" w:after="160"/>
        <w:pBdr>
          <w:bottom w:val="single" w:sz="6" w:space="1" w:color="1F4E79"/>
        </w:pBdr>
      </w:pPr>
    </w:p>
    <w:p>
      <w:pPr>
        <w:spacing w:before="160" w:after="240"/>
      </w:pPr>
      <w:r>
        <w:rPr>
          <w:i/>
          <w:color w:val="444444"/>
          <w:sz w:val="22"/>
        </w:rPr>
        <w:t>Un projet informatique mal découpé est un projet à risque. Le découpage en phases impose une rigueur structurelle qui transforme une vision abstraite en livrables concrets, mesurables et validables. Le modèle présenté ici suit le cadre standard enseigné en gestion de projet informatique, couvrant l'ensemble du cycle de vie d'un projet : de la faisabilité initiale jusqu'aux tests de performance en environnement de production.</w:t>
      </w:r>
    </w:p>
    <w:p>
      <w:pPr>
        <w:spacing w:before="80" w:after="120"/>
      </w:pPr>
      <w:r>
        <w:rPr>
          <w:b/>
          <w:color w:val="1F4E79"/>
          <w:sz w:val="26"/>
        </w:rPr>
        <w:t>Vue d'ensemble des 8 phases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20"/>
              </w:rPr>
              <w:t>Phase</w:t>
            </w:r>
          </w:p>
        </w:tc>
        <w:tc>
          <w:tcPr>
            <w:tcW w:type="dxa" w:w="2196"/>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20"/>
              </w:rPr>
              <w:t>Titre</w:t>
            </w:r>
          </w:p>
        </w:tc>
        <w:tc>
          <w:tcPr>
            <w:tcW w:type="dxa" w:w="2196"/>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20"/>
              </w:rPr>
              <w:t>Livrable principal</w:t>
            </w:r>
          </w:p>
        </w:tc>
        <w:tc>
          <w:tcPr>
            <w:tcW w:type="dxa" w:w="2196"/>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20"/>
              </w:rPr>
              <w:t>Jalon clé</w:t>
            </w:r>
          </w:p>
        </w:tc>
      </w:tr>
      <w:tr>
        <w:tc>
          <w:tcPr>
            <w:tcW w:type="dxa" w:w="2196"/>
            <w:shd w:val="clear" w:color="auto" w:fill="EBF5FB"/>
            <w:tcBorders>
              <w:top w:val="single" w:sz="4" w:space="0" w:color="CCCCCC"/>
              <w:left w:val="single" w:sz="4" w:space="0" w:color="CCCCCC"/>
              <w:bottom w:val="single" w:sz="4" w:space="0" w:color="CCCCCC"/>
              <w:right w:val="single" w:sz="4" w:space="0" w:color="CCCCCC"/>
            </w:tcBorders>
          </w:tcPr>
          <w:p>
            <w:pPr>
              <w:jc w:val="center"/>
            </w:pPr>
            <w:r>
              <w:rPr>
                <w:b/>
                <w:color w:val="1F4E79"/>
                <w:sz w:val="20"/>
              </w:rPr>
              <w:t>1</w:t>
            </w:r>
          </w:p>
        </w:tc>
        <w:tc>
          <w:tcPr>
            <w:tcW w:type="dxa" w:w="2196"/>
            <w:shd w:val="clear" w:color="auto" w:fill="EBF5FB"/>
            <w:tcBorders>
              <w:top w:val="single" w:sz="4" w:space="0" w:color="CCCCCC"/>
              <w:left w:val="single" w:sz="4" w:space="0" w:color="CCCCCC"/>
              <w:bottom w:val="single" w:sz="4" w:space="0" w:color="CCCCCC"/>
              <w:right w:val="single" w:sz="4" w:space="0" w:color="CCCCCC"/>
            </w:tcBorders>
          </w:tcPr>
          <w:p>
            <w:r>
              <w:rPr>
                <w:sz w:val="20"/>
              </w:rPr>
              <w:t>Faisabilité</w:t>
            </w:r>
          </w:p>
        </w:tc>
        <w:tc>
          <w:tcPr>
            <w:tcW w:type="dxa" w:w="2196"/>
            <w:shd w:val="clear" w:color="auto" w:fill="EBF5FB"/>
            <w:tcBorders>
              <w:top w:val="single" w:sz="4" w:space="0" w:color="CCCCCC"/>
              <w:left w:val="single" w:sz="4" w:space="0" w:color="CCCCCC"/>
              <w:bottom w:val="single" w:sz="4" w:space="0" w:color="CCCCCC"/>
              <w:right w:val="single" w:sz="4" w:space="0" w:color="CCCCCC"/>
            </w:tcBorders>
          </w:tcPr>
          <w:p>
            <w:r>
              <w:rPr>
                <w:sz w:val="20"/>
              </w:rPr>
              <w:t>Note de cadrage, étude ROI</w:t>
            </w:r>
          </w:p>
        </w:tc>
        <w:tc>
          <w:tcPr>
            <w:tcW w:type="dxa" w:w="2196"/>
            <w:shd w:val="clear" w:color="auto" w:fill="EBF5FB"/>
            <w:tcBorders>
              <w:top w:val="single" w:sz="4" w:space="0" w:color="CCCCCC"/>
              <w:left w:val="single" w:sz="4" w:space="0" w:color="CCCCCC"/>
              <w:bottom w:val="single" w:sz="4" w:space="0" w:color="CCCCCC"/>
              <w:right w:val="single" w:sz="4" w:space="0" w:color="CCCCCC"/>
            </w:tcBorders>
          </w:tcPr>
          <w:p>
            <w:r>
              <w:rPr>
                <w:sz w:val="20"/>
              </w:rPr>
              <w:t>Go/No-Go comité</w:t>
            </w:r>
          </w:p>
        </w:tc>
      </w:tr>
      <w:tr>
        <w:tc>
          <w:tcPr>
            <w:tcW w:type="dxa" w:w="2196"/>
            <w:shd w:val="clear" w:color="auto" w:fill="FFFFFF"/>
            <w:tcBorders>
              <w:top w:val="single" w:sz="4" w:space="0" w:color="CCCCCC"/>
              <w:left w:val="single" w:sz="4" w:space="0" w:color="CCCCCC"/>
              <w:bottom w:val="single" w:sz="4" w:space="0" w:color="CCCCCC"/>
              <w:right w:val="single" w:sz="4" w:space="0" w:color="CCCCCC"/>
            </w:tcBorders>
          </w:tcPr>
          <w:p>
            <w:pPr>
              <w:jc w:val="center"/>
            </w:pPr>
            <w:r>
              <w:rPr>
                <w:b/>
                <w:color w:val="1F4E79"/>
                <w:sz w:val="20"/>
              </w:rPr>
              <w:t>2</w:t>
            </w:r>
          </w:p>
        </w:tc>
        <w:tc>
          <w:tcPr>
            <w:tcW w:type="dxa" w:w="2196"/>
            <w:shd w:val="clear" w:color="auto" w:fill="FFFFFF"/>
            <w:tcBorders>
              <w:top w:val="single" w:sz="4" w:space="0" w:color="CCCCCC"/>
              <w:left w:val="single" w:sz="4" w:space="0" w:color="CCCCCC"/>
              <w:bottom w:val="single" w:sz="4" w:space="0" w:color="CCCCCC"/>
              <w:right w:val="single" w:sz="4" w:space="0" w:color="CCCCCC"/>
            </w:tcBorders>
          </w:tcPr>
          <w:p>
            <w:r>
              <w:rPr>
                <w:sz w:val="20"/>
              </w:rPr>
              <w:t>Lancement</w:t>
            </w:r>
          </w:p>
        </w:tc>
        <w:tc>
          <w:tcPr>
            <w:tcW w:type="dxa" w:w="2196"/>
            <w:shd w:val="clear" w:color="auto" w:fill="FFFFFF"/>
            <w:tcBorders>
              <w:top w:val="single" w:sz="4" w:space="0" w:color="CCCCCC"/>
              <w:left w:val="single" w:sz="4" w:space="0" w:color="CCCCCC"/>
              <w:bottom w:val="single" w:sz="4" w:space="0" w:color="CCCCCC"/>
              <w:right w:val="single" w:sz="4" w:space="0" w:color="CCCCCC"/>
            </w:tcBorders>
          </w:tcPr>
          <w:p>
            <w:r>
              <w:rPr>
                <w:sz w:val="20"/>
              </w:rPr>
              <w:t>Charte de projet, plan de travail</w:t>
            </w:r>
          </w:p>
        </w:tc>
        <w:tc>
          <w:tcPr>
            <w:tcW w:type="dxa" w:w="2196"/>
            <w:shd w:val="clear" w:color="auto" w:fill="FFFFFF"/>
            <w:tcBorders>
              <w:top w:val="single" w:sz="4" w:space="0" w:color="CCCCCC"/>
              <w:left w:val="single" w:sz="4" w:space="0" w:color="CCCCCC"/>
              <w:bottom w:val="single" w:sz="4" w:space="0" w:color="CCCCCC"/>
              <w:right w:val="single" w:sz="4" w:space="0" w:color="CCCCCC"/>
            </w:tcBorders>
          </w:tcPr>
          <w:p>
            <w:r>
              <w:rPr>
                <w:sz w:val="20"/>
              </w:rPr>
              <w:t>Approbation officielle</w:t>
            </w:r>
          </w:p>
        </w:tc>
      </w:tr>
      <w:tr>
        <w:tc>
          <w:tcPr>
            <w:tcW w:type="dxa" w:w="2196"/>
            <w:shd w:val="clear" w:color="auto" w:fill="EBF5FB"/>
            <w:tcBorders>
              <w:top w:val="single" w:sz="4" w:space="0" w:color="CCCCCC"/>
              <w:left w:val="single" w:sz="4" w:space="0" w:color="CCCCCC"/>
              <w:bottom w:val="single" w:sz="4" w:space="0" w:color="CCCCCC"/>
              <w:right w:val="single" w:sz="4" w:space="0" w:color="CCCCCC"/>
            </w:tcBorders>
          </w:tcPr>
          <w:p>
            <w:pPr>
              <w:jc w:val="center"/>
            </w:pPr>
            <w:r>
              <w:rPr>
                <w:b/>
                <w:color w:val="1F4E79"/>
                <w:sz w:val="20"/>
              </w:rPr>
              <w:t>3</w:t>
            </w:r>
          </w:p>
        </w:tc>
        <w:tc>
          <w:tcPr>
            <w:tcW w:type="dxa" w:w="2196"/>
            <w:shd w:val="clear" w:color="auto" w:fill="EBF5FB"/>
            <w:tcBorders>
              <w:top w:val="single" w:sz="4" w:space="0" w:color="CCCCCC"/>
              <w:left w:val="single" w:sz="4" w:space="0" w:color="CCCCCC"/>
              <w:bottom w:val="single" w:sz="4" w:space="0" w:color="CCCCCC"/>
              <w:right w:val="single" w:sz="4" w:space="0" w:color="CCCCCC"/>
            </w:tcBorders>
          </w:tcPr>
          <w:p>
            <w:r>
              <w:rPr>
                <w:sz w:val="20"/>
              </w:rPr>
              <w:t>Étude</w:t>
            </w:r>
          </w:p>
        </w:tc>
        <w:tc>
          <w:tcPr>
            <w:tcW w:type="dxa" w:w="2196"/>
            <w:shd w:val="clear" w:color="auto" w:fill="EBF5FB"/>
            <w:tcBorders>
              <w:top w:val="single" w:sz="4" w:space="0" w:color="CCCCCC"/>
              <w:left w:val="single" w:sz="4" w:space="0" w:color="CCCCCC"/>
              <w:bottom w:val="single" w:sz="4" w:space="0" w:color="CCCCCC"/>
              <w:right w:val="single" w:sz="4" w:space="0" w:color="CCCCCC"/>
            </w:tcBorders>
          </w:tcPr>
          <w:p>
            <w:r>
              <w:rPr>
                <w:sz w:val="20"/>
              </w:rPr>
              <w:t>Cahier des charges, backlog</w:t>
            </w:r>
          </w:p>
        </w:tc>
        <w:tc>
          <w:tcPr>
            <w:tcW w:type="dxa" w:w="2196"/>
            <w:shd w:val="clear" w:color="auto" w:fill="EBF5FB"/>
            <w:tcBorders>
              <w:top w:val="single" w:sz="4" w:space="0" w:color="CCCCCC"/>
              <w:left w:val="single" w:sz="4" w:space="0" w:color="CCCCCC"/>
              <w:bottom w:val="single" w:sz="4" w:space="0" w:color="CCCCCC"/>
              <w:right w:val="single" w:sz="4" w:space="0" w:color="CCCCCC"/>
            </w:tcBorders>
          </w:tcPr>
          <w:p>
            <w:r>
              <w:rPr>
                <w:sz w:val="20"/>
              </w:rPr>
              <w:t>Validation client</w:t>
            </w:r>
          </w:p>
        </w:tc>
      </w:tr>
      <w:tr>
        <w:tc>
          <w:tcPr>
            <w:tcW w:type="dxa" w:w="2196"/>
            <w:shd w:val="clear" w:color="auto" w:fill="FFFFFF"/>
            <w:tcBorders>
              <w:top w:val="single" w:sz="4" w:space="0" w:color="CCCCCC"/>
              <w:left w:val="single" w:sz="4" w:space="0" w:color="CCCCCC"/>
              <w:bottom w:val="single" w:sz="4" w:space="0" w:color="CCCCCC"/>
              <w:right w:val="single" w:sz="4" w:space="0" w:color="CCCCCC"/>
            </w:tcBorders>
          </w:tcPr>
          <w:p>
            <w:pPr>
              <w:jc w:val="center"/>
            </w:pPr>
            <w:r>
              <w:rPr>
                <w:b/>
                <w:color w:val="1F4E79"/>
                <w:sz w:val="20"/>
              </w:rPr>
              <w:t>4</w:t>
            </w:r>
          </w:p>
        </w:tc>
        <w:tc>
          <w:tcPr>
            <w:tcW w:type="dxa" w:w="2196"/>
            <w:shd w:val="clear" w:color="auto" w:fill="FFFFFF"/>
            <w:tcBorders>
              <w:top w:val="single" w:sz="4" w:space="0" w:color="CCCCCC"/>
              <w:left w:val="single" w:sz="4" w:space="0" w:color="CCCCCC"/>
              <w:bottom w:val="single" w:sz="4" w:space="0" w:color="CCCCCC"/>
              <w:right w:val="single" w:sz="4" w:space="0" w:color="CCCCCC"/>
            </w:tcBorders>
          </w:tcPr>
          <w:p>
            <w:r>
              <w:rPr>
                <w:sz w:val="20"/>
              </w:rPr>
              <w:t>Solutions</w:t>
            </w:r>
          </w:p>
        </w:tc>
        <w:tc>
          <w:tcPr>
            <w:tcW w:type="dxa" w:w="2196"/>
            <w:shd w:val="clear" w:color="auto" w:fill="FFFFFF"/>
            <w:tcBorders>
              <w:top w:val="single" w:sz="4" w:space="0" w:color="CCCCCC"/>
              <w:left w:val="single" w:sz="4" w:space="0" w:color="CCCCCC"/>
              <w:bottom w:val="single" w:sz="4" w:space="0" w:color="CCCCCC"/>
              <w:right w:val="single" w:sz="4" w:space="0" w:color="CCCCCC"/>
            </w:tcBorders>
          </w:tcPr>
          <w:p>
            <w:r>
              <w:rPr>
                <w:sz w:val="20"/>
              </w:rPr>
              <w:t>Architecture, maquettes validées</w:t>
            </w:r>
          </w:p>
        </w:tc>
        <w:tc>
          <w:tcPr>
            <w:tcW w:type="dxa" w:w="2196"/>
            <w:shd w:val="clear" w:color="auto" w:fill="FFFFFF"/>
            <w:tcBorders>
              <w:top w:val="single" w:sz="4" w:space="0" w:color="CCCCCC"/>
              <w:left w:val="single" w:sz="4" w:space="0" w:color="CCCCCC"/>
              <w:bottom w:val="single" w:sz="4" w:space="0" w:color="CCCCCC"/>
              <w:right w:val="single" w:sz="4" w:space="0" w:color="CCCCCC"/>
            </w:tcBorders>
          </w:tcPr>
          <w:p>
            <w:r>
              <w:rPr>
                <w:sz w:val="20"/>
              </w:rPr>
              <w:t>Revue de conception</w:t>
            </w:r>
          </w:p>
        </w:tc>
      </w:tr>
      <w:tr>
        <w:tc>
          <w:tcPr>
            <w:tcW w:type="dxa" w:w="2196"/>
            <w:shd w:val="clear" w:color="auto" w:fill="EBF5FB"/>
            <w:tcBorders>
              <w:top w:val="single" w:sz="4" w:space="0" w:color="CCCCCC"/>
              <w:left w:val="single" w:sz="4" w:space="0" w:color="CCCCCC"/>
              <w:bottom w:val="single" w:sz="4" w:space="0" w:color="CCCCCC"/>
              <w:right w:val="single" w:sz="4" w:space="0" w:color="CCCCCC"/>
            </w:tcBorders>
          </w:tcPr>
          <w:p>
            <w:pPr>
              <w:jc w:val="center"/>
            </w:pPr>
            <w:r>
              <w:rPr>
                <w:b/>
                <w:color w:val="1F4E79"/>
                <w:sz w:val="20"/>
              </w:rPr>
              <w:t>5</w:t>
            </w:r>
          </w:p>
        </w:tc>
        <w:tc>
          <w:tcPr>
            <w:tcW w:type="dxa" w:w="2196"/>
            <w:shd w:val="clear" w:color="auto" w:fill="EBF5FB"/>
            <w:tcBorders>
              <w:top w:val="single" w:sz="4" w:space="0" w:color="CCCCCC"/>
              <w:left w:val="single" w:sz="4" w:space="0" w:color="CCCCCC"/>
              <w:bottom w:val="single" w:sz="4" w:space="0" w:color="CCCCCC"/>
              <w:right w:val="single" w:sz="4" w:space="0" w:color="CCCCCC"/>
            </w:tcBorders>
          </w:tcPr>
          <w:p>
            <w:r>
              <w:rPr>
                <w:sz w:val="20"/>
              </w:rPr>
              <w:t>Réalisation</w:t>
            </w:r>
          </w:p>
        </w:tc>
        <w:tc>
          <w:tcPr>
            <w:tcW w:type="dxa" w:w="2196"/>
            <w:shd w:val="clear" w:color="auto" w:fill="EBF5FB"/>
            <w:tcBorders>
              <w:top w:val="single" w:sz="4" w:space="0" w:color="CCCCCC"/>
              <w:left w:val="single" w:sz="4" w:space="0" w:color="CCCCCC"/>
              <w:bottom w:val="single" w:sz="4" w:space="0" w:color="CCCCCC"/>
              <w:right w:val="single" w:sz="4" w:space="0" w:color="CCCCCC"/>
            </w:tcBorders>
          </w:tcPr>
          <w:p>
            <w:r>
              <w:rPr>
                <w:sz w:val="20"/>
              </w:rPr>
              <w:t>Versions alpha/bêta + documentation</w:t>
            </w:r>
          </w:p>
        </w:tc>
        <w:tc>
          <w:tcPr>
            <w:tcW w:type="dxa" w:w="2196"/>
            <w:shd w:val="clear" w:color="auto" w:fill="EBF5FB"/>
            <w:tcBorders>
              <w:top w:val="single" w:sz="4" w:space="0" w:color="CCCCCC"/>
              <w:left w:val="single" w:sz="4" w:space="0" w:color="CCCCCC"/>
              <w:bottom w:val="single" w:sz="4" w:space="0" w:color="CCCCCC"/>
              <w:right w:val="single" w:sz="4" w:space="0" w:color="CCCCCC"/>
            </w:tcBorders>
          </w:tcPr>
          <w:p>
            <w:r>
              <w:rPr>
                <w:sz w:val="20"/>
              </w:rPr>
              <w:t>Critères d'acceptation</w:t>
            </w:r>
          </w:p>
        </w:tc>
      </w:tr>
      <w:tr>
        <w:tc>
          <w:tcPr>
            <w:tcW w:type="dxa" w:w="2196"/>
            <w:shd w:val="clear" w:color="auto" w:fill="FFFFFF"/>
            <w:tcBorders>
              <w:top w:val="single" w:sz="4" w:space="0" w:color="CCCCCC"/>
              <w:left w:val="single" w:sz="4" w:space="0" w:color="CCCCCC"/>
              <w:bottom w:val="single" w:sz="4" w:space="0" w:color="CCCCCC"/>
              <w:right w:val="single" w:sz="4" w:space="0" w:color="CCCCCC"/>
            </w:tcBorders>
          </w:tcPr>
          <w:p>
            <w:pPr>
              <w:jc w:val="center"/>
            </w:pPr>
            <w:r>
              <w:rPr>
                <w:b/>
                <w:color w:val="1F4E79"/>
                <w:sz w:val="20"/>
              </w:rPr>
              <w:t>6</w:t>
            </w:r>
          </w:p>
        </w:tc>
        <w:tc>
          <w:tcPr>
            <w:tcW w:type="dxa" w:w="2196"/>
            <w:shd w:val="clear" w:color="auto" w:fill="FFFFFF"/>
            <w:tcBorders>
              <w:top w:val="single" w:sz="4" w:space="0" w:color="CCCCCC"/>
              <w:left w:val="single" w:sz="4" w:space="0" w:color="CCCCCC"/>
              <w:bottom w:val="single" w:sz="4" w:space="0" w:color="CCCCCC"/>
              <w:right w:val="single" w:sz="4" w:space="0" w:color="CCCCCC"/>
            </w:tcBorders>
          </w:tcPr>
          <w:p>
            <w:r>
              <w:rPr>
                <w:sz w:val="20"/>
              </w:rPr>
              <w:t>Test unitaire</w:t>
            </w:r>
          </w:p>
        </w:tc>
        <w:tc>
          <w:tcPr>
            <w:tcW w:type="dxa" w:w="2196"/>
            <w:shd w:val="clear" w:color="auto" w:fill="FFFFFF"/>
            <w:tcBorders>
              <w:top w:val="single" w:sz="4" w:space="0" w:color="CCCCCC"/>
              <w:left w:val="single" w:sz="4" w:space="0" w:color="CCCCCC"/>
              <w:bottom w:val="single" w:sz="4" w:space="0" w:color="CCCCCC"/>
              <w:right w:val="single" w:sz="4" w:space="0" w:color="CCCCCC"/>
            </w:tcBorders>
          </w:tcPr>
          <w:p>
            <w:r>
              <w:rPr>
                <w:sz w:val="20"/>
              </w:rPr>
              <w:t>Rapports tests unitaires, corrections</w:t>
            </w:r>
          </w:p>
        </w:tc>
        <w:tc>
          <w:tcPr>
            <w:tcW w:type="dxa" w:w="2196"/>
            <w:shd w:val="clear" w:color="auto" w:fill="FFFFFF"/>
            <w:tcBorders>
              <w:top w:val="single" w:sz="4" w:space="0" w:color="CCCCCC"/>
              <w:left w:val="single" w:sz="4" w:space="0" w:color="CCCCCC"/>
              <w:bottom w:val="single" w:sz="4" w:space="0" w:color="CCCCCC"/>
              <w:right w:val="single" w:sz="4" w:space="0" w:color="CCCCCC"/>
            </w:tcBorders>
          </w:tcPr>
          <w:p>
            <w:r>
              <w:rPr>
                <w:sz w:val="20"/>
              </w:rPr>
              <w:t>Couverture ≥ 80%</w:t>
            </w:r>
          </w:p>
        </w:tc>
      </w:tr>
      <w:tr>
        <w:tc>
          <w:tcPr>
            <w:tcW w:type="dxa" w:w="2196"/>
            <w:shd w:val="clear" w:color="auto" w:fill="EBF5FB"/>
            <w:tcBorders>
              <w:top w:val="single" w:sz="4" w:space="0" w:color="CCCCCC"/>
              <w:left w:val="single" w:sz="4" w:space="0" w:color="CCCCCC"/>
              <w:bottom w:val="single" w:sz="4" w:space="0" w:color="CCCCCC"/>
              <w:right w:val="single" w:sz="4" w:space="0" w:color="CCCCCC"/>
            </w:tcBorders>
          </w:tcPr>
          <w:p>
            <w:pPr>
              <w:jc w:val="center"/>
            </w:pPr>
            <w:r>
              <w:rPr>
                <w:b/>
                <w:color w:val="1F4E79"/>
                <w:sz w:val="20"/>
              </w:rPr>
              <w:t>7</w:t>
            </w:r>
          </w:p>
        </w:tc>
        <w:tc>
          <w:tcPr>
            <w:tcW w:type="dxa" w:w="2196"/>
            <w:shd w:val="clear" w:color="auto" w:fill="EBF5FB"/>
            <w:tcBorders>
              <w:top w:val="single" w:sz="4" w:space="0" w:color="CCCCCC"/>
              <w:left w:val="single" w:sz="4" w:space="0" w:color="CCCCCC"/>
              <w:bottom w:val="single" w:sz="4" w:space="0" w:color="CCCCCC"/>
              <w:right w:val="single" w:sz="4" w:space="0" w:color="CCCCCC"/>
            </w:tcBorders>
          </w:tcPr>
          <w:p>
            <w:r>
              <w:rPr>
                <w:sz w:val="20"/>
              </w:rPr>
              <w:t>Test intégration</w:t>
            </w:r>
          </w:p>
        </w:tc>
        <w:tc>
          <w:tcPr>
            <w:tcW w:type="dxa" w:w="2196"/>
            <w:shd w:val="clear" w:color="auto" w:fill="EBF5FB"/>
            <w:tcBorders>
              <w:top w:val="single" w:sz="4" w:space="0" w:color="CCCCCC"/>
              <w:left w:val="single" w:sz="4" w:space="0" w:color="CCCCCC"/>
              <w:bottom w:val="single" w:sz="4" w:space="0" w:color="CCCCCC"/>
              <w:right w:val="single" w:sz="4" w:space="0" w:color="CCCCCC"/>
            </w:tcBorders>
          </w:tcPr>
          <w:p>
            <w:r>
              <w:rPr>
                <w:sz w:val="20"/>
              </w:rPr>
              <w:t>Rapports tests intégration, UAT</w:t>
            </w:r>
          </w:p>
        </w:tc>
        <w:tc>
          <w:tcPr>
            <w:tcW w:type="dxa" w:w="2196"/>
            <w:shd w:val="clear" w:color="auto" w:fill="EBF5FB"/>
            <w:tcBorders>
              <w:top w:val="single" w:sz="4" w:space="0" w:color="CCCCCC"/>
              <w:left w:val="single" w:sz="4" w:space="0" w:color="CCCCCC"/>
              <w:bottom w:val="single" w:sz="4" w:space="0" w:color="CCCCCC"/>
              <w:right w:val="single" w:sz="4" w:space="0" w:color="CCCCCC"/>
            </w:tcBorders>
          </w:tcPr>
          <w:p>
            <w:r>
              <w:rPr>
                <w:sz w:val="20"/>
              </w:rPr>
              <w:t>UAT validé / Go-Live</w:t>
            </w:r>
          </w:p>
        </w:tc>
      </w:tr>
      <w:tr>
        <w:tc>
          <w:tcPr>
            <w:tcW w:type="dxa" w:w="2196"/>
            <w:shd w:val="clear" w:color="auto" w:fill="FFFFFF"/>
            <w:tcBorders>
              <w:top w:val="single" w:sz="4" w:space="0" w:color="CCCCCC"/>
              <w:left w:val="single" w:sz="4" w:space="0" w:color="CCCCCC"/>
              <w:bottom w:val="single" w:sz="4" w:space="0" w:color="CCCCCC"/>
              <w:right w:val="single" w:sz="4" w:space="0" w:color="CCCCCC"/>
            </w:tcBorders>
          </w:tcPr>
          <w:p>
            <w:pPr>
              <w:jc w:val="center"/>
            </w:pPr>
            <w:r>
              <w:rPr>
                <w:b/>
                <w:color w:val="1F4E79"/>
                <w:sz w:val="20"/>
              </w:rPr>
              <w:t>8</w:t>
            </w:r>
          </w:p>
        </w:tc>
        <w:tc>
          <w:tcPr>
            <w:tcW w:type="dxa" w:w="2196"/>
            <w:shd w:val="clear" w:color="auto" w:fill="FFFFFF"/>
            <w:tcBorders>
              <w:top w:val="single" w:sz="4" w:space="0" w:color="CCCCCC"/>
              <w:left w:val="single" w:sz="4" w:space="0" w:color="CCCCCC"/>
              <w:bottom w:val="single" w:sz="4" w:space="0" w:color="CCCCCC"/>
              <w:right w:val="single" w:sz="4" w:space="0" w:color="CCCCCC"/>
            </w:tcBorders>
          </w:tcPr>
          <w:p>
            <w:r>
              <w:rPr>
                <w:sz w:val="20"/>
              </w:rPr>
              <w:t>Test performance</w:t>
            </w:r>
          </w:p>
        </w:tc>
        <w:tc>
          <w:tcPr>
            <w:tcW w:type="dxa" w:w="2196"/>
            <w:shd w:val="clear" w:color="auto" w:fill="FFFFFF"/>
            <w:tcBorders>
              <w:top w:val="single" w:sz="4" w:space="0" w:color="CCCCCC"/>
              <w:left w:val="single" w:sz="4" w:space="0" w:color="CCCCCC"/>
              <w:bottom w:val="single" w:sz="4" w:space="0" w:color="CCCCCC"/>
              <w:right w:val="single" w:sz="4" w:space="0" w:color="CCCCCC"/>
            </w:tcBorders>
          </w:tcPr>
          <w:p>
            <w:r>
              <w:rPr>
                <w:sz w:val="20"/>
              </w:rPr>
              <w:t>Rapports charge, SLA, optimisations</w:t>
            </w:r>
          </w:p>
        </w:tc>
        <w:tc>
          <w:tcPr>
            <w:tcW w:type="dxa" w:w="2196"/>
            <w:shd w:val="clear" w:color="auto" w:fill="FFFFFF"/>
            <w:tcBorders>
              <w:top w:val="single" w:sz="4" w:space="0" w:color="CCCCCC"/>
              <w:left w:val="single" w:sz="4" w:space="0" w:color="CCCCCC"/>
              <w:bottom w:val="single" w:sz="4" w:space="0" w:color="CCCCCC"/>
              <w:right w:val="single" w:sz="4" w:space="0" w:color="CCCCCC"/>
            </w:tcBorders>
          </w:tcPr>
          <w:p>
            <w:r>
              <w:rPr>
                <w:sz w:val="20"/>
              </w:rPr>
              <w:t>Seuils de perf atteints</w:t>
            </w:r>
          </w:p>
        </w:tc>
      </w:tr>
    </w:tbl>
    <w:p/>
    <w:p>
      <w:pPr>
        <w:spacing w:before="360" w:after="80"/>
      </w:pPr>
      <w:r>
        <w:rPr>
          <w:b/>
          <w:color w:val="1F4E79"/>
          <w:sz w:val="28"/>
        </w:rPr>
        <w:t>Phase 1 — Faisabilité</w:t>
      </w:r>
    </w:p>
    <w:p>
      <w:pPr>
        <w:spacing w:before="40" w:after="160"/>
        <w:pBdr>
          <w:bottom w:val="single" w:sz="6" w:space="1" w:color="1F4E79"/>
        </w:pBdr>
      </w:pPr>
    </w:p>
    <w:p>
      <w:pPr>
        <w:spacing w:before="80" w:after="40"/>
        <w:ind w:left="360"/>
      </w:pPr>
      <w:r>
        <w:rPr>
          <w:b/>
          <w:color w:val="1F4E79"/>
          <w:sz w:val="22"/>
        </w:rPr>
        <w:t xml:space="preserve">Objectif général : </w:t>
      </w:r>
      <w:r>
        <w:rPr>
          <w:sz w:val="22"/>
        </w:rPr>
        <w:t>Valider l'opportunité du projet avant tout investissement de développement. Cette phase répond à trois questions fondamentales : Est-ce techniquement réalisable ? Est-ce financièrement viable ? Est-ce aligné sur la stratégie de l'organisation ?</w:t>
      </w:r>
    </w:p>
    <w:p>
      <w:pPr>
        <w:spacing w:before="160" w:after="40"/>
        <w:ind w:left="288"/>
      </w:pPr>
      <w:r>
        <w:rPr>
          <w:b/>
          <w:color w:val="2C5F8A"/>
          <w:sz w:val="22"/>
        </w:rPr>
        <w:t>▸  Activités principales</w:t>
      </w:r>
    </w:p>
    <w:p>
      <w:pPr>
        <w:pStyle w:val="ListBullet"/>
        <w:spacing w:before="20" w:after="20"/>
        <w:ind w:left="720"/>
      </w:pPr>
      <w:r>
        <w:rPr>
          <w:sz w:val="21"/>
        </w:rPr>
        <w:t>Définir le contexte, le problème à résoudre et les objectifs SMART du projet</w:t>
      </w:r>
    </w:p>
    <w:p>
      <w:pPr>
        <w:pStyle w:val="ListBullet"/>
        <w:spacing w:before="20" w:after="20"/>
        <w:ind w:left="720"/>
      </w:pPr>
      <w:r>
        <w:rPr>
          <w:sz w:val="21"/>
        </w:rPr>
        <w:t>Identifier et cartographier les parties prenantes (stakeholders map)</w:t>
      </w:r>
    </w:p>
    <w:p>
      <w:pPr>
        <w:pStyle w:val="ListBullet"/>
        <w:spacing w:before="20" w:after="20"/>
        <w:ind w:left="720"/>
      </w:pPr>
      <w:r>
        <w:rPr>
          <w:sz w:val="21"/>
        </w:rPr>
        <w:t>Réaliser une analyse SWOT et une étude de l'existant (benchmark concurrentiel)</w:t>
      </w:r>
    </w:p>
    <w:p>
      <w:pPr>
        <w:pStyle w:val="ListBullet"/>
        <w:spacing w:before="20" w:after="20"/>
        <w:ind w:left="720"/>
      </w:pPr>
      <w:r>
        <w:rPr>
          <w:sz w:val="21"/>
        </w:rPr>
        <w:t>Évaluer les contraintes : budget prévisionnel, délais, ressources humaines, réglementations</w:t>
      </w:r>
    </w:p>
    <w:p>
      <w:pPr>
        <w:pStyle w:val="ListBullet"/>
        <w:spacing w:before="20" w:after="20"/>
        <w:ind w:left="720"/>
      </w:pPr>
      <w:r>
        <w:rPr>
          <w:sz w:val="21"/>
        </w:rPr>
        <w:t>Chiffrer le retour sur investissement (ROI) et définir les indicateurs de succès (KPI)</w:t>
      </w:r>
    </w:p>
    <w:p>
      <w:pPr>
        <w:pStyle w:val="ListBullet"/>
        <w:spacing w:before="20" w:after="20"/>
        <w:ind w:left="720"/>
      </w:pPr>
      <w:r>
        <w:rPr>
          <w:sz w:val="21"/>
        </w:rPr>
        <w:t>Analyser les risques majeurs et établir un registre des risques initial</w:t>
      </w:r>
    </w:p>
    <w:p>
      <w:pPr>
        <w:pStyle w:val="ListBullet"/>
        <w:spacing w:before="20" w:after="20"/>
        <w:ind w:left="720"/>
      </w:pPr>
      <w:r>
        <w:rPr>
          <w:sz w:val="21"/>
        </w:rPr>
        <w:t>Définir les grandes options de solutions (make vs buy vs open source)</w:t>
      </w:r>
    </w:p>
    <w:p>
      <w:pPr>
        <w:spacing w:before="80" w:after="40"/>
        <w:ind w:left="360"/>
      </w:pPr>
      <w:r>
        <w:rPr>
          <w:b/>
          <w:color w:val="1F4E79"/>
          <w:sz w:val="22"/>
        </w:rPr>
        <w:t xml:space="preserve">Livrable principal : </w:t>
      </w:r>
      <w:r>
        <w:rPr>
          <w:sz w:val="22"/>
        </w:rPr>
        <w:t>Note de cadrage officielle (Project Charter) + étude de faisabilité incluant estimation des coûts, analyse ROI, contraintes réglementaires (ex. : Loi 25 au Québec, RGPD en Europe) et registre des risques.</w:t>
      </w:r>
    </w:p>
    <w:p>
      <w:pPr>
        <w:spacing w:before="80" w:after="40"/>
        <w:ind w:left="360"/>
      </w:pPr>
      <w:r>
        <w:rPr>
          <w:b/>
          <w:color w:val="1F4E79"/>
          <w:sz w:val="22"/>
        </w:rPr>
        <w:t xml:space="preserve">Rôles impliqués : </w:t>
      </w:r>
      <w:r>
        <w:rPr>
          <w:sz w:val="22"/>
        </w:rPr>
        <w:t>Chef de projet, commanditaire (sponsor), directeur TI, analyste d'affaires, parties prenantes clés.</w:t>
      </w:r>
    </w:p>
    <w:tbl>
      <w:tblPr>
        <w:tblStyle w:val="TableGrid"/>
        <w:tblW w:type="auto" w:w="0"/>
        <w:jc w:val="left"/>
        <w:tblLook w:firstColumn="1" w:firstRow="1" w:lastColumn="0" w:lastRow="0" w:noHBand="0" w:noVBand="1" w:val="04A0"/>
      </w:tblPr>
      <w:tblGrid>
        <w:gridCol w:w="8784"/>
      </w:tblGrid>
      <w:tr>
        <w:tc>
          <w:tcPr>
            <w:tcW w:type="dxa" w:w="8784"/>
            <w:shd w:val="clear" w:color="auto" w:fill="EBF5FB"/>
            <w:tcBorders>
              <w:top w:val="single" w:sz="4" w:space="0" w:color="1F4E79"/>
              <w:left w:val="single" w:sz="4" w:space="0" w:color="1F4E79"/>
              <w:bottom w:val="single" w:sz="4" w:space="0" w:color="1F4E79"/>
              <w:right w:val="single" w:sz="4" w:space="0" w:color="1F4E79"/>
            </w:tcBorders>
          </w:tcPr>
          <w:p>
            <w:pPr>
              <w:spacing w:before="80" w:after="80"/>
              <w:ind w:left="144"/>
            </w:pPr>
            <w:r>
              <w:rPr>
                <w:b/>
                <w:color w:val="1F4E79"/>
                <w:sz w:val="20"/>
              </w:rPr>
              <w:t xml:space="preserve">⚑  Jalon Go/No-Go : </w:t>
            </w:r>
            <w:r>
              <w:rPr>
                <w:sz w:val="20"/>
              </w:rPr>
              <w:t>Présentation au comité de pilotage. Si les critères de faisabilité et le budget sont approuvés, le projet passe officiellement en phase 2. Un No-Go entraîne soit l'abandon, soit une révision de périmètre.</w:t>
            </w:r>
          </w:p>
        </w:tc>
      </w:tr>
    </w:tbl>
    <w:p>
      <w:pPr>
        <w:spacing w:after="40"/>
      </w:pPr>
    </w:p>
    <w:tbl>
      <w:tblPr>
        <w:tblStyle w:val="TableGrid"/>
        <w:tblW w:type="auto" w:w="0"/>
        <w:jc w:val="left"/>
        <w:tblLook w:firstColumn="1" w:firstRow="1" w:lastColumn="0" w:lastRow="0" w:noHBand="0" w:noVBand="1" w:val="04A0"/>
      </w:tblPr>
      <w:tblGrid>
        <w:gridCol w:w="8784"/>
      </w:tblGrid>
      <w:tr>
        <w:tc>
          <w:tcPr>
            <w:tcW w:type="dxa" w:w="8784"/>
            <w:shd w:val="clear" w:color="auto" w:fill="FFF3CD"/>
            <w:tcBorders>
              <w:top w:val="single" w:sz="4" w:space="0" w:color="856404"/>
              <w:left w:val="single" w:sz="4" w:space="0" w:color="856404"/>
              <w:bottom w:val="single" w:sz="4" w:space="0" w:color="856404"/>
              <w:right w:val="single" w:sz="4" w:space="0" w:color="856404"/>
            </w:tcBorders>
          </w:tcPr>
          <w:p>
            <w:pPr>
              <w:spacing w:before="80" w:after="80"/>
              <w:ind w:left="144"/>
            </w:pPr>
            <w:r>
              <w:rPr>
                <w:b/>
                <w:color w:val="856404"/>
                <w:sz w:val="20"/>
              </w:rPr>
              <w:t xml:space="preserve">⚑  Risque principal : </w:t>
            </w:r>
            <w:r>
              <w:rPr>
                <w:sz w:val="20"/>
              </w:rPr>
              <w:t>Sauter cette phase ou la bâcler est la cause #1 des projets livrés hors budget et hors délai. Des hypothèses non validées en amont coûtent 10 à 100× plus cher à corriger en phase de développement.</w:t>
            </w:r>
          </w:p>
        </w:tc>
      </w:tr>
    </w:tbl>
    <w:p>
      <w:pPr>
        <w:spacing w:after="40"/>
      </w:pPr>
    </w:p>
    <w:p>
      <w:pPr>
        <w:spacing w:before="360" w:after="80"/>
      </w:pPr>
      <w:r>
        <w:rPr>
          <w:b/>
          <w:color w:val="1A5276"/>
          <w:sz w:val="28"/>
        </w:rPr>
        <w:t>Phase 2 — Lancement</w:t>
      </w:r>
    </w:p>
    <w:p>
      <w:pPr>
        <w:spacing w:before="40" w:after="160"/>
        <w:pBdr>
          <w:bottom w:val="single" w:sz="6" w:space="1" w:color="1A5276"/>
        </w:pBdr>
      </w:pPr>
    </w:p>
    <w:p>
      <w:pPr>
        <w:spacing w:before="80" w:after="40"/>
        <w:ind w:left="360"/>
      </w:pPr>
      <w:r>
        <w:rPr>
          <w:b/>
          <w:color w:val="1F4E79"/>
          <w:sz w:val="22"/>
        </w:rPr>
        <w:t xml:space="preserve">Objectif général : </w:t>
      </w:r>
      <w:r>
        <w:rPr>
          <w:sz w:val="22"/>
        </w:rPr>
        <w:t>Officialiser le démarrage du projet suite au Go de faisabilité. Cette phase établit les fondations organisationnelles : constitution de l'équipe, définition des rôles et responsabilités, planification initiale et mise en place des outils de pilotage.</w:t>
      </w:r>
    </w:p>
    <w:p>
      <w:pPr>
        <w:spacing w:before="160" w:after="40"/>
        <w:ind w:left="288"/>
      </w:pPr>
      <w:r>
        <w:rPr>
          <w:b/>
          <w:color w:val="2C5F8A"/>
          <w:sz w:val="22"/>
        </w:rPr>
        <w:t>▸  Activités principales</w:t>
      </w:r>
    </w:p>
    <w:p>
      <w:pPr>
        <w:pStyle w:val="ListBullet"/>
        <w:spacing w:before="20" w:after="20"/>
        <w:ind w:left="720"/>
      </w:pPr>
      <w:r>
        <w:rPr>
          <w:sz w:val="21"/>
        </w:rPr>
        <w:t>Constituer l'équipe projet et nommer le chef de projet officiellement</w:t>
      </w:r>
    </w:p>
    <w:p>
      <w:pPr>
        <w:pStyle w:val="ListBullet"/>
        <w:spacing w:before="20" w:after="20"/>
        <w:ind w:left="720"/>
      </w:pPr>
      <w:r>
        <w:rPr>
          <w:sz w:val="21"/>
        </w:rPr>
        <w:t>Définir la matrice RACI (Responsable, Approbateur, Consulté, Informé) pour chaque livrable</w:t>
      </w:r>
    </w:p>
    <w:p>
      <w:pPr>
        <w:pStyle w:val="ListBullet"/>
        <w:spacing w:before="20" w:after="20"/>
        <w:ind w:left="720"/>
      </w:pPr>
      <w:r>
        <w:rPr>
          <w:sz w:val="21"/>
        </w:rPr>
        <w:t>Établir le plan de communication : fréquence des réunions, outils, canaux, escalade</w:t>
      </w:r>
    </w:p>
    <w:p>
      <w:pPr>
        <w:pStyle w:val="ListBullet"/>
        <w:spacing w:before="20" w:after="20"/>
        <w:ind w:left="720"/>
      </w:pPr>
      <w:r>
        <w:rPr>
          <w:sz w:val="21"/>
        </w:rPr>
        <w:t>Créer le plan de projet initial : macro-calendrier, jalons, dépendances entre phases</w:t>
      </w:r>
    </w:p>
    <w:p>
      <w:pPr>
        <w:pStyle w:val="ListBullet"/>
        <w:spacing w:before="20" w:after="20"/>
        <w:ind w:left="720"/>
      </w:pPr>
      <w:r>
        <w:rPr>
          <w:sz w:val="21"/>
        </w:rPr>
        <w:t>Configurer les outils de gestion : tableau Kanban, dépôt Git, espace de documentation</w:t>
      </w:r>
    </w:p>
    <w:p>
      <w:pPr>
        <w:pStyle w:val="ListBullet"/>
        <w:spacing w:before="20" w:after="20"/>
        <w:ind w:left="720"/>
      </w:pPr>
      <w:r>
        <w:rPr>
          <w:sz w:val="21"/>
        </w:rPr>
        <w:t>Définir les standards de développement et de qualité à respecter tout au long du projet</w:t>
      </w:r>
    </w:p>
    <w:p>
      <w:pPr>
        <w:pStyle w:val="ListBullet"/>
        <w:spacing w:before="20" w:after="20"/>
        <w:ind w:left="720"/>
      </w:pPr>
      <w:r>
        <w:rPr>
          <w:sz w:val="21"/>
        </w:rPr>
        <w:t>Organiser le kick-off meeting : aligner toutes les parties prenantes sur les objectifs et le calendrier</w:t>
      </w:r>
    </w:p>
    <w:p>
      <w:pPr>
        <w:spacing w:before="80" w:after="40"/>
        <w:ind w:left="360"/>
      </w:pPr>
      <w:r>
        <w:rPr>
          <w:b/>
          <w:color w:val="1F4E79"/>
          <w:sz w:val="22"/>
        </w:rPr>
        <w:t xml:space="preserve">Livrable principal : </w:t>
      </w:r>
      <w:r>
        <w:rPr>
          <w:sz w:val="22"/>
        </w:rPr>
        <w:t>Charte de projet signée (rôles, responsabilités, périmètre), plan de projet initial, environnement de travail configuré (Git, outils de gestion), compte-rendu du kick-off.</w:t>
      </w:r>
    </w:p>
    <w:p>
      <w:pPr>
        <w:spacing w:before="80" w:after="40"/>
        <w:ind w:left="360"/>
      </w:pPr>
      <w:r>
        <w:rPr>
          <w:b/>
          <w:color w:val="1F4E79"/>
          <w:sz w:val="22"/>
        </w:rPr>
        <w:t xml:space="preserve">Rôles impliqués : </w:t>
      </w:r>
      <w:r>
        <w:rPr>
          <w:sz w:val="22"/>
        </w:rPr>
        <w:t>Chef de projet, sponsor, toute l'équipe projet, représentants du client.</w:t>
      </w:r>
    </w:p>
    <w:tbl>
      <w:tblPr>
        <w:tblStyle w:val="TableGrid"/>
        <w:tblW w:type="auto" w:w="0"/>
        <w:jc w:val="left"/>
        <w:tblLook w:firstColumn="1" w:firstRow="1" w:lastColumn="0" w:lastRow="0" w:noHBand="0" w:noVBand="1" w:val="04A0"/>
      </w:tblPr>
      <w:tblGrid>
        <w:gridCol w:w="8784"/>
      </w:tblGrid>
      <w:tr>
        <w:tc>
          <w:tcPr>
            <w:tcW w:type="dxa" w:w="8784"/>
            <w:shd w:val="clear" w:color="auto" w:fill="EBF5FB"/>
            <w:tcBorders>
              <w:top w:val="single" w:sz="4" w:space="0" w:color="1A5276"/>
              <w:left w:val="single" w:sz="4" w:space="0" w:color="1A5276"/>
              <w:bottom w:val="single" w:sz="4" w:space="0" w:color="1A5276"/>
              <w:right w:val="single" w:sz="4" w:space="0" w:color="1A5276"/>
            </w:tcBorders>
          </w:tcPr>
          <w:p>
            <w:pPr>
              <w:spacing w:before="80" w:after="80"/>
              <w:ind w:left="144"/>
            </w:pPr>
            <w:r>
              <w:rPr>
                <w:b/>
                <w:color w:val="1A5276"/>
                <w:sz w:val="20"/>
              </w:rPr>
              <w:t xml:space="preserve">⚑  Jalon : </w:t>
            </w:r>
            <w:r>
              <w:rPr>
                <w:sz w:val="20"/>
              </w:rPr>
              <w:t>Approbation officielle du plan de projet par le sponsor et le client. Signature de la charte de projet. L'équipe est formée et les outils sont opérationnels.</w:t>
            </w:r>
          </w:p>
        </w:tc>
      </w:tr>
    </w:tbl>
    <w:p>
      <w:pPr>
        <w:spacing w:after="40"/>
      </w:pPr>
    </w:p>
    <w:tbl>
      <w:tblPr>
        <w:tblStyle w:val="TableGrid"/>
        <w:tblW w:type="auto" w:w="0"/>
        <w:jc w:val="left"/>
        <w:tblLook w:firstColumn="1" w:firstRow="1" w:lastColumn="0" w:lastRow="0" w:noHBand="0" w:noVBand="1" w:val="04A0"/>
      </w:tblPr>
      <w:tblGrid>
        <w:gridCol w:w="8784"/>
      </w:tblGrid>
      <w:tr>
        <w:tc>
          <w:tcPr>
            <w:tcW w:type="dxa" w:w="8784"/>
            <w:shd w:val="clear" w:color="auto" w:fill="E9F7EF"/>
            <w:tcBorders>
              <w:top w:val="single" w:sz="4" w:space="0" w:color="196F3D"/>
              <w:left w:val="single" w:sz="4" w:space="0" w:color="196F3D"/>
              <w:bottom w:val="single" w:sz="4" w:space="0" w:color="196F3D"/>
              <w:right w:val="single" w:sz="4" w:space="0" w:color="196F3D"/>
            </w:tcBorders>
          </w:tcPr>
          <w:p>
            <w:pPr>
              <w:spacing w:before="80" w:after="80"/>
              <w:ind w:left="144"/>
            </w:pPr>
            <w:r>
              <w:rPr>
                <w:b/>
                <w:color w:val="196F3D"/>
                <w:sz w:val="20"/>
              </w:rPr>
              <w:t xml:space="preserve">⚑  Bonne pratique : </w:t>
            </w:r>
            <w:r>
              <w:rPr>
                <w:sz w:val="20"/>
              </w:rPr>
              <w:t>Le kick-off meeting n'est pas une formalité. C'est l'occasion d'aligner les attentes, de clarifier les ambiguïtés du périmètre et de créer la cohésion d'équipe. Un projet bien lancé réduit significativement les conflits en cours de réalisation.</w:t>
            </w:r>
          </w:p>
        </w:tc>
      </w:tr>
    </w:tbl>
    <w:p>
      <w:pPr>
        <w:spacing w:after="40"/>
      </w:pPr>
    </w:p>
    <w:p>
      <w:pPr>
        <w:spacing w:before="360" w:after="80"/>
      </w:pPr>
      <w:r>
        <w:rPr>
          <w:b/>
          <w:color w:val="117A65"/>
          <w:sz w:val="28"/>
        </w:rPr>
        <w:t>Phase 3 — Étude</w:t>
      </w:r>
    </w:p>
    <w:p>
      <w:pPr>
        <w:spacing w:before="40" w:after="160"/>
        <w:pBdr>
          <w:bottom w:val="single" w:sz="6" w:space="1" w:color="117A65"/>
        </w:pBdr>
      </w:pPr>
    </w:p>
    <w:p>
      <w:pPr>
        <w:spacing w:before="80" w:after="40"/>
        <w:ind w:left="360"/>
      </w:pPr>
      <w:r>
        <w:rPr>
          <w:b/>
          <w:color w:val="1F4E79"/>
          <w:sz w:val="22"/>
        </w:rPr>
        <w:t xml:space="preserve">Objectif général : </w:t>
      </w:r>
      <w:r>
        <w:rPr>
          <w:sz w:val="22"/>
        </w:rPr>
        <w:t>Recueillir, analyser et formaliser l'ensemble des besoins des utilisateurs et des parties prenantes. Cette phase traduit les objectifs d'affaires en exigences fonctionnelles précises et testables, et produit le cahier des charges qui servira de référence contractuelle pour toute la suite du projet.</w:t>
      </w:r>
    </w:p>
    <w:p>
      <w:pPr>
        <w:spacing w:before="160" w:after="40"/>
        <w:ind w:left="288"/>
      </w:pPr>
      <w:r>
        <w:rPr>
          <w:b/>
          <w:color w:val="2C5F8A"/>
          <w:sz w:val="22"/>
        </w:rPr>
        <w:t>▸  Techniques de collecte des besoins</w:t>
      </w:r>
    </w:p>
    <w:p>
      <w:pPr>
        <w:pStyle w:val="ListBullet"/>
        <w:spacing w:before="20" w:after="20"/>
        <w:ind w:left="720"/>
      </w:pPr>
      <w:r>
        <w:rPr>
          <w:sz w:val="21"/>
        </w:rPr>
        <w:t>Entretiens individuels et ateliers de co-conception avec les utilisateurs finaux</w:t>
      </w:r>
    </w:p>
    <w:p>
      <w:pPr>
        <w:pStyle w:val="ListBullet"/>
        <w:spacing w:before="20" w:after="20"/>
        <w:ind w:left="720"/>
      </w:pPr>
      <w:r>
        <w:rPr>
          <w:sz w:val="21"/>
        </w:rPr>
        <w:t>Questionnaires et sondages pour valider les hypothèses à grande échelle</w:t>
      </w:r>
    </w:p>
    <w:p>
      <w:pPr>
        <w:pStyle w:val="ListBullet"/>
        <w:spacing w:before="20" w:after="20"/>
        <w:ind w:left="720"/>
      </w:pPr>
      <w:r>
        <w:rPr>
          <w:sz w:val="21"/>
        </w:rPr>
        <w:t>Observation terrain (shadowing) et analyse des processus existants</w:t>
      </w:r>
    </w:p>
    <w:p>
      <w:pPr>
        <w:pStyle w:val="ListBullet"/>
        <w:spacing w:before="20" w:after="20"/>
        <w:ind w:left="720"/>
      </w:pPr>
      <w:r>
        <w:rPr>
          <w:sz w:val="21"/>
        </w:rPr>
        <w:t>Analyse de la concurrence et benchmarks fonctionnels</w:t>
      </w:r>
    </w:p>
    <w:p>
      <w:pPr>
        <w:pStyle w:val="ListBullet"/>
        <w:spacing w:before="20" w:after="20"/>
        <w:ind w:left="720"/>
      </w:pPr>
      <w:r>
        <w:rPr>
          <w:sz w:val="21"/>
        </w:rPr>
        <w:t>Création de personas et de scénarios d'utilisation (use cases)</w:t>
      </w:r>
    </w:p>
    <w:p>
      <w:pPr>
        <w:spacing w:before="160" w:after="40"/>
        <w:ind w:left="288"/>
      </w:pPr>
      <w:r>
        <w:rPr>
          <w:b/>
          <w:color w:val="2C5F8A"/>
          <w:sz w:val="22"/>
        </w:rPr>
        <w:t>▸  Livrables de la phase</w:t>
      </w:r>
    </w:p>
    <w:p>
      <w:pPr>
        <w:pStyle w:val="ListBullet"/>
        <w:spacing w:before="20" w:after="20"/>
        <w:ind w:left="720"/>
      </w:pPr>
      <w:r>
        <w:rPr>
          <w:sz w:val="21"/>
        </w:rPr>
        <w:t>Cahier des charges fonctionnel (CCF) : liste exhaustive des fonctionnalités avec critères d'acceptation</w:t>
      </w:r>
    </w:p>
    <w:p>
      <w:pPr>
        <w:pStyle w:val="ListBullet"/>
        <w:spacing w:before="20" w:after="20"/>
        <w:ind w:left="720"/>
      </w:pPr>
      <w:r>
        <w:rPr>
          <w:sz w:val="21"/>
        </w:rPr>
        <w:t>Backlog initial priorisé (MoSCoW : Must / Should / Could / Won't have)</w:t>
      </w:r>
    </w:p>
    <w:p>
      <w:pPr>
        <w:pStyle w:val="ListBullet"/>
        <w:spacing w:before="20" w:after="20"/>
        <w:ind w:left="720"/>
      </w:pPr>
      <w:r>
        <w:rPr>
          <w:sz w:val="21"/>
        </w:rPr>
        <w:t>Diagrammes de flux de données (DFD) et cartographie des processus métier</w:t>
      </w:r>
    </w:p>
    <w:p>
      <w:pPr>
        <w:pStyle w:val="ListBullet"/>
        <w:spacing w:before="20" w:after="20"/>
        <w:ind w:left="720"/>
      </w:pPr>
      <w:r>
        <w:rPr>
          <w:sz w:val="21"/>
        </w:rPr>
        <w:t>Matrice de traçabilité des exigences (MTX) — relie chaque besoin à un test futur</w:t>
      </w:r>
    </w:p>
    <w:p>
      <w:pPr>
        <w:pStyle w:val="ListBullet"/>
        <w:spacing w:before="20" w:after="20"/>
        <w:ind w:left="720"/>
      </w:pPr>
      <w:r>
        <w:rPr>
          <w:sz w:val="21"/>
        </w:rPr>
        <w:t>Glossaire métier partagé entre équipe tech et équipe métier</w:t>
      </w:r>
    </w:p>
    <w:p>
      <w:pPr>
        <w:spacing w:before="80" w:after="40"/>
        <w:ind w:left="360"/>
      </w:pPr>
      <w:r>
        <w:rPr>
          <w:b/>
          <w:color w:val="1F4E79"/>
          <w:sz w:val="22"/>
        </w:rPr>
        <w:t xml:space="preserve">Rôles impliqués : </w:t>
      </w:r>
      <w:r>
        <w:rPr>
          <w:sz w:val="22"/>
        </w:rPr>
        <w:t>Analyste fonctionnel, chef de projet, Product Owner, représentants utilisateurs, client/sponsor.</w:t>
      </w:r>
    </w:p>
    <w:tbl>
      <w:tblPr>
        <w:tblStyle w:val="TableGrid"/>
        <w:tblW w:type="auto" w:w="0"/>
        <w:jc w:val="left"/>
        <w:tblLook w:firstColumn="1" w:firstRow="1" w:lastColumn="0" w:lastRow="0" w:noHBand="0" w:noVBand="1" w:val="04A0"/>
      </w:tblPr>
      <w:tblGrid>
        <w:gridCol w:w="8784"/>
      </w:tblGrid>
      <w:tr>
        <w:tc>
          <w:tcPr>
            <w:tcW w:type="dxa" w:w="8784"/>
            <w:shd w:val="clear" w:color="auto" w:fill="E8F8F5"/>
            <w:tcBorders>
              <w:top w:val="single" w:sz="4" w:space="0" w:color="117A65"/>
              <w:left w:val="single" w:sz="4" w:space="0" w:color="117A65"/>
              <w:bottom w:val="single" w:sz="4" w:space="0" w:color="117A65"/>
              <w:right w:val="single" w:sz="4" w:space="0" w:color="117A65"/>
            </w:tcBorders>
          </w:tcPr>
          <w:p>
            <w:pPr>
              <w:spacing w:before="80" w:after="80"/>
              <w:ind w:left="144"/>
            </w:pPr>
            <w:r>
              <w:rPr>
                <w:b/>
                <w:color w:val="117A65"/>
                <w:sz w:val="20"/>
              </w:rPr>
              <w:t xml:space="preserve">⚑  Jalon : </w:t>
            </w:r>
            <w:r>
              <w:rPr>
                <w:sz w:val="20"/>
              </w:rPr>
              <w:t>Validation formelle du cahier des charges par le client ou le sponsor. Aucune conception ne commence sans cette signature. Le document signé devient la référence contractuelle du périmètre.</w:t>
            </w:r>
          </w:p>
        </w:tc>
      </w:tr>
    </w:tbl>
    <w:p>
      <w:pPr>
        <w:spacing w:after="40"/>
      </w:pPr>
    </w:p>
    <w:tbl>
      <w:tblPr>
        <w:tblStyle w:val="TableGrid"/>
        <w:tblW w:type="auto" w:w="0"/>
        <w:jc w:val="left"/>
        <w:tblLook w:firstColumn="1" w:firstRow="1" w:lastColumn="0" w:lastRow="0" w:noHBand="0" w:noVBand="1" w:val="04A0"/>
      </w:tblPr>
      <w:tblGrid>
        <w:gridCol w:w="8784"/>
      </w:tblGrid>
      <w:tr>
        <w:tc>
          <w:tcPr>
            <w:tcW w:type="dxa" w:w="8784"/>
            <w:shd w:val="clear" w:color="auto" w:fill="E9F7EF"/>
            <w:tcBorders>
              <w:top w:val="single" w:sz="4" w:space="0" w:color="196F3D"/>
              <w:left w:val="single" w:sz="4" w:space="0" w:color="196F3D"/>
              <w:bottom w:val="single" w:sz="4" w:space="0" w:color="196F3D"/>
              <w:right w:val="single" w:sz="4" w:space="0" w:color="196F3D"/>
            </w:tcBorders>
          </w:tcPr>
          <w:p>
            <w:pPr>
              <w:spacing w:before="80" w:after="80"/>
              <w:ind w:left="144"/>
            </w:pPr>
            <w:r>
              <w:rPr>
                <w:b/>
                <w:color w:val="196F3D"/>
                <w:sz w:val="20"/>
              </w:rPr>
              <w:t xml:space="preserve">⚑  Bonne pratique : </w:t>
            </w:r>
            <w:r>
              <w:rPr>
                <w:sz w:val="20"/>
              </w:rPr>
              <w:t>Utiliser la méthode INVEST pour valider chaque user story : Indépendante, Négociable, Valeur ajoutée, Estimable, Small (petite), Testable. Une user story non INVEST est une source de conflit future garantie.</w:t>
            </w:r>
          </w:p>
        </w:tc>
      </w:tr>
    </w:tbl>
    <w:p>
      <w:pPr>
        <w:spacing w:after="40"/>
      </w:pPr>
    </w:p>
    <w:p>
      <w:pPr>
        <w:spacing w:before="360" w:after="80"/>
      </w:pPr>
      <w:r>
        <w:rPr>
          <w:b/>
          <w:color w:val="7D6608"/>
          <w:sz w:val="28"/>
        </w:rPr>
        <w:t>Phase 4 — Solutions</w:t>
      </w:r>
    </w:p>
    <w:p>
      <w:pPr>
        <w:spacing w:before="40" w:after="160"/>
        <w:pBdr>
          <w:bottom w:val="single" w:sz="6" w:space="1" w:color="7D6608"/>
        </w:pBdr>
      </w:pPr>
    </w:p>
    <w:p>
      <w:pPr>
        <w:spacing w:before="80" w:after="40"/>
        <w:ind w:left="360"/>
      </w:pPr>
      <w:r>
        <w:rPr>
          <w:b/>
          <w:color w:val="1F4E79"/>
          <w:sz w:val="22"/>
        </w:rPr>
        <w:t xml:space="preserve">Objectif général : </w:t>
      </w:r>
      <w:r>
        <w:rPr>
          <w:sz w:val="22"/>
        </w:rPr>
        <w:t>Concevoir la solution technique et fonctionnelle avant de la coder : évaluer les options d'architecture, définir les choix technologiques (backend, API, base de données, cloud), créer les maquettes UX/UI et valider l'approche retenue auprès des parties prenantes. Cette phase évite le refactoring coûteux en fixant les fondations architecturales.</w:t>
      </w:r>
    </w:p>
    <w:p>
      <w:pPr>
        <w:spacing w:before="160" w:after="40"/>
        <w:ind w:left="288"/>
      </w:pPr>
      <w:r>
        <w:rPr>
          <w:b/>
          <w:color w:val="2C5F8A"/>
          <w:sz w:val="22"/>
        </w:rPr>
        <w:t>▸  Évaluation et choix des solutions</w:t>
      </w:r>
    </w:p>
    <w:p>
      <w:pPr>
        <w:pStyle w:val="ListBullet"/>
        <w:spacing w:before="20" w:after="20"/>
        <w:ind w:left="720"/>
      </w:pPr>
      <w:r>
        <w:rPr>
          <w:sz w:val="21"/>
        </w:rPr>
        <w:t>Recenser les options possibles : développement interne, solutions SaaS, open source, hybride</w:t>
      </w:r>
    </w:p>
    <w:p>
      <w:pPr>
        <w:pStyle w:val="ListBullet"/>
        <w:spacing w:before="20" w:after="20"/>
        <w:ind w:left="720"/>
      </w:pPr>
      <w:r>
        <w:rPr>
          <w:sz w:val="21"/>
        </w:rPr>
        <w:t>Évaluer chaque option selon critères coût, délai, maintenabilité, scalabilité et risque</w:t>
      </w:r>
    </w:p>
    <w:p>
      <w:pPr>
        <w:pStyle w:val="ListBullet"/>
        <w:spacing w:before="20" w:after="20"/>
        <w:ind w:left="720"/>
      </w:pPr>
      <w:r>
        <w:rPr>
          <w:sz w:val="21"/>
        </w:rPr>
        <w:t>Sélectionner et documenter la solution retenue avec justification formelle</w:t>
      </w:r>
    </w:p>
    <w:p>
      <w:pPr>
        <w:pStyle w:val="ListBullet"/>
        <w:spacing w:before="20" w:after="20"/>
        <w:ind w:left="720"/>
      </w:pPr>
      <w:r>
        <w:rPr>
          <w:sz w:val="21"/>
        </w:rPr>
        <w:t>Définir le stack technologique : frontend, backend, base de données, infrastructure cloud</w:t>
      </w:r>
    </w:p>
    <w:p>
      <w:pPr>
        <w:spacing w:before="160" w:after="40"/>
        <w:ind w:left="288"/>
      </w:pPr>
      <w:r>
        <w:rPr>
          <w:b/>
          <w:color w:val="2C5F8A"/>
          <w:sz w:val="22"/>
        </w:rPr>
        <w:t>▸  Conception technique et UX</w:t>
      </w:r>
    </w:p>
    <w:p>
      <w:pPr>
        <w:pStyle w:val="ListBullet"/>
        <w:spacing w:before="20" w:after="20"/>
        <w:ind w:left="720"/>
      </w:pPr>
      <w:r>
        <w:rPr>
          <w:sz w:val="21"/>
        </w:rPr>
        <w:t>Concevoir l'architecture logicielle : APIs, microservices ou monolithe, diagrammes UML</w:t>
      </w:r>
    </w:p>
    <w:p>
      <w:pPr>
        <w:pStyle w:val="ListBullet"/>
        <w:spacing w:before="20" w:after="20"/>
        <w:ind w:left="720"/>
      </w:pPr>
      <w:r>
        <w:rPr>
          <w:sz w:val="21"/>
        </w:rPr>
        <w:t>Définir le plan de sécurité : authentification, chiffrement, gestion des accès (RBAC)</w:t>
      </w:r>
    </w:p>
    <w:p>
      <w:pPr>
        <w:pStyle w:val="ListBullet"/>
        <w:spacing w:before="20" w:after="20"/>
        <w:ind w:left="720"/>
      </w:pPr>
      <w:r>
        <w:rPr>
          <w:sz w:val="21"/>
        </w:rPr>
        <w:t>Créer les wireframes (basse fidélité) → maquettes interactives (haute fidélité) via Figma</w:t>
      </w:r>
    </w:p>
    <w:p>
      <w:pPr>
        <w:pStyle w:val="ListBullet"/>
        <w:spacing w:before="20" w:after="20"/>
        <w:ind w:left="720"/>
      </w:pPr>
      <w:r>
        <w:rPr>
          <w:sz w:val="21"/>
        </w:rPr>
        <w:t>Cartographier les parcours utilisateurs (user flows) pour chaque fonctionnalité critique</w:t>
      </w:r>
    </w:p>
    <w:p>
      <w:pPr>
        <w:pStyle w:val="ListBullet"/>
        <w:spacing w:before="20" w:after="20"/>
        <w:ind w:left="720"/>
      </w:pPr>
      <w:r>
        <w:rPr>
          <w:sz w:val="21"/>
        </w:rPr>
        <w:t>Planifier la stratégie de tests dès cette phase (types de tests, environnements, outils)</w:t>
      </w:r>
    </w:p>
    <w:p>
      <w:pPr>
        <w:spacing w:before="80" w:after="40"/>
        <w:ind w:left="360"/>
      </w:pPr>
      <w:r>
        <w:rPr>
          <w:b/>
          <w:color w:val="1F4E79"/>
          <w:sz w:val="22"/>
        </w:rPr>
        <w:t xml:space="preserve">Livrables : </w:t>
      </w:r>
      <w:r>
        <w:rPr>
          <w:sz w:val="22"/>
        </w:rPr>
        <w:t>Document d'architecture technique, maquettes interactives validées, diagrammes UML, plan de sécurité, comparatif des solutions évaluées, plan de tests préliminaire.</w:t>
      </w:r>
    </w:p>
    <w:p>
      <w:pPr>
        <w:spacing w:before="80" w:after="40"/>
        <w:ind w:left="360"/>
      </w:pPr>
      <w:r>
        <w:rPr>
          <w:b/>
          <w:color w:val="1F4E79"/>
          <w:sz w:val="22"/>
        </w:rPr>
        <w:t xml:space="preserve">Rôles impliqués : </w:t>
      </w:r>
      <w:r>
        <w:rPr>
          <w:sz w:val="22"/>
        </w:rPr>
        <w:t>Architecte logiciel, développeur senior, designer UX/UI, responsable sécurité, chef de projet.</w:t>
      </w:r>
    </w:p>
    <w:tbl>
      <w:tblPr>
        <w:tblStyle w:val="TableGrid"/>
        <w:tblW w:type="auto" w:w="0"/>
        <w:jc w:val="left"/>
        <w:tblLook w:firstColumn="1" w:firstRow="1" w:lastColumn="0" w:lastRow="0" w:noHBand="0" w:noVBand="1" w:val="04A0"/>
      </w:tblPr>
      <w:tblGrid>
        <w:gridCol w:w="8784"/>
      </w:tblGrid>
      <w:tr>
        <w:tc>
          <w:tcPr>
            <w:tcW w:type="dxa" w:w="8784"/>
            <w:shd w:val="clear" w:color="auto" w:fill="FFFDE7"/>
            <w:tcBorders>
              <w:top w:val="single" w:sz="4" w:space="0" w:color="7D6608"/>
              <w:left w:val="single" w:sz="4" w:space="0" w:color="7D6608"/>
              <w:bottom w:val="single" w:sz="4" w:space="0" w:color="7D6608"/>
              <w:right w:val="single" w:sz="4" w:space="0" w:color="7D6608"/>
            </w:tcBorders>
          </w:tcPr>
          <w:p>
            <w:pPr>
              <w:spacing w:before="80" w:after="80"/>
              <w:ind w:left="144"/>
            </w:pPr>
            <w:r>
              <w:rPr>
                <w:b/>
                <w:color w:val="7D6608"/>
                <w:sz w:val="20"/>
              </w:rPr>
              <w:t xml:space="preserve">⚑  Jalon : </w:t>
            </w:r>
            <w:r>
              <w:rPr>
                <w:sz w:val="20"/>
              </w:rPr>
              <w:t>Revue de conception (Design Review) : l'architecture est approuvée, les maquettes sont validées par le client, et la solution retenue est documentée et signée. Feu vert pour la réalisation.</w:t>
            </w:r>
          </w:p>
        </w:tc>
      </w:tr>
    </w:tbl>
    <w:p>
      <w:pPr>
        <w:spacing w:after="40"/>
      </w:pPr>
    </w:p>
    <w:p>
      <w:pPr>
        <w:spacing w:before="360" w:after="80"/>
      </w:pPr>
      <w:r>
        <w:rPr>
          <w:b/>
          <w:color w:val="1A5276"/>
          <w:sz w:val="28"/>
        </w:rPr>
        <w:t>Phase 5 — Réalisation</w:t>
      </w:r>
    </w:p>
    <w:p>
      <w:pPr>
        <w:spacing w:before="40" w:after="160"/>
        <w:pBdr>
          <w:bottom w:val="single" w:sz="6" w:space="1" w:color="1A5276"/>
        </w:pBdr>
      </w:pPr>
    </w:p>
    <w:p>
      <w:pPr>
        <w:spacing w:before="80" w:after="40"/>
        <w:ind w:left="360"/>
      </w:pPr>
      <w:r>
        <w:rPr>
          <w:b/>
          <w:color w:val="1F4E79"/>
          <w:sz w:val="22"/>
        </w:rPr>
        <w:t xml:space="preserve">Objectif général : </w:t>
      </w:r>
      <w:r>
        <w:rPr>
          <w:sz w:val="22"/>
        </w:rPr>
        <w:t>Développer l'ensemble des fonctionnalités du produit par itérations courtes (sprints), en livrant de la valeur incrémentale à chaque cycle. La méthode Scrum ou une approche hybride agile/cascade est généralement utilisée à cette phase.</w:t>
      </w:r>
    </w:p>
    <w:p>
      <w:pPr>
        <w:spacing w:before="160" w:after="40"/>
        <w:ind w:left="288"/>
      </w:pPr>
      <w:r>
        <w:rPr>
          <w:b/>
          <w:color w:val="2C5F8A"/>
          <w:sz w:val="22"/>
        </w:rPr>
        <w:t>▸  Cadre Scrum — Rappel des rituels</w:t>
      </w:r>
    </w:p>
    <w:p>
      <w:pPr>
        <w:pStyle w:val="ListBullet"/>
        <w:spacing w:before="20" w:after="20"/>
        <w:ind w:left="720"/>
      </w:pPr>
      <w:r>
        <w:rPr>
          <w:sz w:val="21"/>
        </w:rPr>
        <w:t>Sprint Planning : sélection des user stories à développer (durée sprint : 1 à 4 semaines)</w:t>
      </w:r>
    </w:p>
    <w:p>
      <w:pPr>
        <w:pStyle w:val="ListBullet"/>
        <w:spacing w:before="20" w:after="20"/>
        <w:ind w:left="720"/>
      </w:pPr>
      <w:r>
        <w:rPr>
          <w:sz w:val="21"/>
        </w:rPr>
        <w:t>Daily Standup : réunion quotidienne de 15 min (Hier / Aujourd'hui / Blocages)</w:t>
      </w:r>
    </w:p>
    <w:p>
      <w:pPr>
        <w:pStyle w:val="ListBullet"/>
        <w:spacing w:before="20" w:after="20"/>
        <w:ind w:left="720"/>
      </w:pPr>
      <w:r>
        <w:rPr>
          <w:sz w:val="21"/>
        </w:rPr>
        <w:t>Sprint Review : démonstration des fonctionnalités livrées aux parties prenantes</w:t>
      </w:r>
    </w:p>
    <w:p>
      <w:pPr>
        <w:pStyle w:val="ListBullet"/>
        <w:spacing w:before="20" w:after="20"/>
        <w:ind w:left="720"/>
      </w:pPr>
      <w:r>
        <w:rPr>
          <w:sz w:val="21"/>
        </w:rPr>
        <w:t>Rétrospective : amélioration continue du processus d'équipe</w:t>
      </w:r>
    </w:p>
    <w:p>
      <w:pPr>
        <w:spacing w:before="160" w:after="40"/>
        <w:ind w:left="288"/>
      </w:pPr>
      <w:r>
        <w:rPr>
          <w:b/>
          <w:color w:val="2C5F8A"/>
          <w:sz w:val="22"/>
        </w:rPr>
        <w:t>▸  Bonnes pratiques de développement</w:t>
      </w:r>
    </w:p>
    <w:p>
      <w:pPr>
        <w:pStyle w:val="ListBullet"/>
        <w:spacing w:before="20" w:after="20"/>
        <w:ind w:left="720"/>
      </w:pPr>
      <w:r>
        <w:rPr>
          <w:sz w:val="21"/>
        </w:rPr>
        <w:t>Intégration continue / Déploiement continu (CI/CD) : pipeline automatisé (GitHub Actions, GitLab CI)</w:t>
      </w:r>
    </w:p>
    <w:p>
      <w:pPr>
        <w:pStyle w:val="ListBullet"/>
        <w:spacing w:before="20" w:after="20"/>
        <w:ind w:left="720"/>
      </w:pPr>
      <w:r>
        <w:rPr>
          <w:sz w:val="21"/>
        </w:rPr>
        <w:t>Code review obligatoire via Pull Request avant tout merge sur la branche principale</w:t>
      </w:r>
    </w:p>
    <w:p>
      <w:pPr>
        <w:pStyle w:val="ListBullet"/>
        <w:spacing w:before="20" w:after="20"/>
        <w:ind w:left="720"/>
      </w:pPr>
      <w:r>
        <w:rPr>
          <w:sz w:val="21"/>
        </w:rPr>
        <w:t>Documentation du code au fil du développement (JSDoc, docstrings, README techniques)</w:t>
      </w:r>
    </w:p>
    <w:p>
      <w:pPr>
        <w:pStyle w:val="ListBullet"/>
        <w:spacing w:before="20" w:after="20"/>
        <w:ind w:left="720"/>
      </w:pPr>
      <w:r>
        <w:rPr>
          <w:sz w:val="21"/>
        </w:rPr>
        <w:t>Gestion de version Git avec branches feature / hotfix / release selon Gitflow</w:t>
      </w:r>
    </w:p>
    <w:p>
      <w:pPr>
        <w:pStyle w:val="ListBullet"/>
        <w:spacing w:before="20" w:after="20"/>
        <w:ind w:left="720"/>
      </w:pPr>
      <w:r>
        <w:rPr>
          <w:sz w:val="21"/>
        </w:rPr>
        <w:t>Veille sur la dette technique : refactoring planifié dans chaque sprint</w:t>
      </w:r>
    </w:p>
    <w:p>
      <w:pPr>
        <w:spacing w:before="80" w:after="40"/>
        <w:ind w:left="360"/>
      </w:pPr>
      <w:r>
        <w:rPr>
          <w:b/>
          <w:color w:val="1F4E79"/>
          <w:sz w:val="22"/>
        </w:rPr>
        <w:t xml:space="preserve">Livrables : </w:t>
      </w:r>
      <w:r>
        <w:rPr>
          <w:sz w:val="22"/>
        </w:rPr>
        <w:t>Incréments logiciels à chaque sprint (versions alpha puis bêta), documentation technique à jour, backlog raffiné, rapports de vélocité, artifacts CI/CD.</w:t>
      </w:r>
    </w:p>
    <w:p>
      <w:pPr>
        <w:spacing w:before="80" w:after="40"/>
        <w:ind w:left="360"/>
      </w:pPr>
      <w:r>
        <w:rPr>
          <w:b/>
          <w:color w:val="1F4E79"/>
          <w:sz w:val="22"/>
        </w:rPr>
        <w:t xml:space="preserve">Rôles impliqués : </w:t>
      </w:r>
      <w:r>
        <w:rPr>
          <w:sz w:val="22"/>
        </w:rPr>
        <w:t>Scrum Master, Product Owner, équipe de développement (frontend, backend, mobile), DevOps.</w:t>
      </w:r>
    </w:p>
    <w:tbl>
      <w:tblPr>
        <w:tblStyle w:val="TableGrid"/>
        <w:tblW w:type="auto" w:w="0"/>
        <w:jc w:val="left"/>
        <w:tblLook w:firstColumn="1" w:firstRow="1" w:lastColumn="0" w:lastRow="0" w:noHBand="0" w:noVBand="1" w:val="04A0"/>
      </w:tblPr>
      <w:tblGrid>
        <w:gridCol w:w="8784"/>
      </w:tblGrid>
      <w:tr>
        <w:tc>
          <w:tcPr>
            <w:tcW w:type="dxa" w:w="8784"/>
            <w:shd w:val="clear" w:color="auto" w:fill="EBF5FB"/>
            <w:tcBorders>
              <w:top w:val="single" w:sz="4" w:space="0" w:color="1A5276"/>
              <w:left w:val="single" w:sz="4" w:space="0" w:color="1A5276"/>
              <w:bottom w:val="single" w:sz="4" w:space="0" w:color="1A5276"/>
              <w:right w:val="single" w:sz="4" w:space="0" w:color="1A5276"/>
            </w:tcBorders>
          </w:tcPr>
          <w:p>
            <w:pPr>
              <w:spacing w:before="80" w:after="80"/>
              <w:ind w:left="144"/>
            </w:pPr>
            <w:r>
              <w:rPr>
                <w:b/>
                <w:color w:val="1A5276"/>
                <w:sz w:val="20"/>
              </w:rPr>
              <w:t xml:space="preserve">⚑  Jalon : </w:t>
            </w:r>
            <w:r>
              <w:rPr>
                <w:sz w:val="20"/>
              </w:rPr>
              <w:t>Revue de sprint majeure (fin phase) : tous les critères d'acceptation des user stories Must-Have sont atteints. La définition of Done (DoD) est satisfaite pour l'ensemble des fonctionnalités. Prêt pour la phase de tests.</w:t>
            </w:r>
          </w:p>
        </w:tc>
      </w:tr>
    </w:tbl>
    <w:p>
      <w:pPr>
        <w:spacing w:after="40"/>
      </w:pPr>
    </w:p>
    <w:p>
      <w:pPr>
        <w:spacing w:before="360" w:after="80"/>
      </w:pPr>
      <w:r>
        <w:rPr>
          <w:b/>
          <w:color w:val="6E2F7C"/>
          <w:sz w:val="28"/>
        </w:rPr>
        <w:t>Phase 6 — Test unitaire</w:t>
      </w:r>
    </w:p>
    <w:p>
      <w:pPr>
        <w:spacing w:before="40" w:after="160"/>
        <w:pBdr>
          <w:bottom w:val="single" w:sz="6" w:space="1" w:color="6E2F7C"/>
        </w:pBdr>
      </w:pPr>
    </w:p>
    <w:p>
      <w:pPr>
        <w:spacing w:before="80" w:after="40"/>
        <w:ind w:left="360"/>
      </w:pPr>
      <w:r>
        <w:rPr>
          <w:b/>
          <w:color w:val="1F4E79"/>
          <w:sz w:val="22"/>
        </w:rPr>
        <w:t xml:space="preserve">Objectif général : </w:t>
      </w:r>
      <w:r>
        <w:rPr>
          <w:sz w:val="22"/>
        </w:rPr>
        <w:t>Valider chaque composant logiciel de manière isolée, indépendamment des autres modules. Le test unitaire est la première ligne de défense contre les régressions : il s'assure que chaque fonction, méthode ou classe se comporte exactement selon sa spécification.</w:t>
      </w:r>
    </w:p>
    <w:p>
      <w:pPr>
        <w:spacing w:before="160" w:after="40"/>
        <w:ind w:left="288"/>
      </w:pPr>
      <w:r>
        <w:rPr>
          <w:b/>
          <w:color w:val="2C5F8A"/>
          <w:sz w:val="22"/>
        </w:rPr>
        <w:t>▸  Définition et portée</w:t>
      </w:r>
    </w:p>
    <w:p>
      <w:pPr>
        <w:pStyle w:val="ListBullet"/>
        <w:spacing w:before="20" w:after="20"/>
        <w:ind w:left="720"/>
      </w:pPr>
      <w:r>
        <w:rPr>
          <w:sz w:val="21"/>
        </w:rPr>
        <w:t>Portée : tester une seule unité de code à la fois (fonction, méthode, classe) en isolation totale</w:t>
      </w:r>
    </w:p>
    <w:p>
      <w:pPr>
        <w:pStyle w:val="ListBullet"/>
        <w:spacing w:before="20" w:after="20"/>
        <w:ind w:left="720"/>
      </w:pPr>
      <w:r>
        <w:rPr>
          <w:sz w:val="21"/>
        </w:rPr>
        <w:t>Les dépendances externes (base de données, API, services tiers) sont simulées par des mocks ou stubs</w:t>
      </w:r>
    </w:p>
    <w:p>
      <w:pPr>
        <w:pStyle w:val="ListBullet"/>
        <w:spacing w:before="20" w:after="20"/>
        <w:ind w:left="720"/>
      </w:pPr>
      <w:r>
        <w:rPr>
          <w:sz w:val="21"/>
        </w:rPr>
        <w:t>Approche recommandée : TDD (Test-Driven Development) — écrire le test avant le code</w:t>
      </w:r>
    </w:p>
    <w:p>
      <w:pPr>
        <w:pStyle w:val="ListBullet"/>
        <w:spacing w:before="20" w:after="20"/>
        <w:ind w:left="720"/>
      </w:pPr>
      <w:r>
        <w:rPr>
          <w:sz w:val="21"/>
        </w:rPr>
        <w:t>Outils courants : JUnit (Java), pytest (Python), Jest (JavaScript/TypeScript), PHPUnit (PHP)</w:t>
      </w:r>
    </w:p>
    <w:p>
      <w:pPr>
        <w:spacing w:before="160" w:after="40"/>
        <w:ind w:left="288"/>
      </w:pPr>
      <w:r>
        <w:rPr>
          <w:b/>
          <w:color w:val="2C5F8A"/>
          <w:sz w:val="22"/>
        </w:rPr>
        <w:t>▸  Activités de la phase</w:t>
      </w:r>
    </w:p>
    <w:p>
      <w:pPr>
        <w:pStyle w:val="ListBullet"/>
        <w:spacing w:before="20" w:after="20"/>
        <w:ind w:left="720"/>
      </w:pPr>
      <w:r>
        <w:rPr>
          <w:sz w:val="21"/>
        </w:rPr>
        <w:t>Rédiger les cas de tests unitaires pour chaque fonction exposée dans les spécifications</w:t>
      </w:r>
    </w:p>
    <w:p>
      <w:pPr>
        <w:pStyle w:val="ListBullet"/>
        <w:spacing w:before="20" w:after="20"/>
        <w:ind w:left="720"/>
      </w:pPr>
      <w:r>
        <w:rPr>
          <w:sz w:val="21"/>
        </w:rPr>
        <w:t>Implémenter les mocks et stubs pour simuler les dépendances externes</w:t>
      </w:r>
    </w:p>
    <w:p>
      <w:pPr>
        <w:pStyle w:val="ListBullet"/>
        <w:spacing w:before="20" w:after="20"/>
        <w:ind w:left="720"/>
      </w:pPr>
      <w:r>
        <w:rPr>
          <w:sz w:val="21"/>
        </w:rPr>
        <w:t>Exécuter l'ensemble de la suite de tests unitaires via le pipeline CI/CD</w:t>
      </w:r>
    </w:p>
    <w:p>
      <w:pPr>
        <w:pStyle w:val="ListBullet"/>
        <w:spacing w:before="20" w:after="20"/>
        <w:ind w:left="720"/>
      </w:pPr>
      <w:r>
        <w:rPr>
          <w:sz w:val="21"/>
        </w:rPr>
        <w:t>Mesurer et documenter la couverture de code (code coverage)</w:t>
      </w:r>
    </w:p>
    <w:p>
      <w:pPr>
        <w:pStyle w:val="ListBullet"/>
        <w:spacing w:before="20" w:after="20"/>
        <w:ind w:left="720"/>
      </w:pPr>
      <w:r>
        <w:rPr>
          <w:sz w:val="21"/>
        </w:rPr>
        <w:t>Corriger tous les tests en échec et redocumenter les corrections</w:t>
      </w:r>
    </w:p>
    <w:p>
      <w:pPr>
        <w:pStyle w:val="ListBullet"/>
        <w:spacing w:before="20" w:after="20"/>
        <w:ind w:left="720"/>
      </w:pPr>
      <w:r>
        <w:rPr>
          <w:sz w:val="21"/>
        </w:rPr>
        <w:t>Valider que les régressions sont détectées automatiquement à chaque nouveau commit</w:t>
      </w:r>
    </w:p>
    <w:p>
      <w:pPr>
        <w:spacing w:before="80" w:after="40"/>
        <w:ind w:left="360"/>
      </w:pPr>
      <w:r>
        <w:rPr>
          <w:b/>
          <w:color w:val="1F4E79"/>
          <w:sz w:val="22"/>
        </w:rPr>
        <w:t xml:space="preserve">Livrables : </w:t>
      </w:r>
      <w:r>
        <w:rPr>
          <w:sz w:val="22"/>
        </w:rPr>
        <w:t>Suite de tests unitaires automatisée, rapport de couverture de code, rapport d'exécution (tests passés/échoués), journal des corrections.</w:t>
      </w:r>
    </w:p>
    <w:tbl>
      <w:tblPr>
        <w:tblStyle w:val="TableGrid"/>
        <w:tblW w:type="auto" w:w="0"/>
        <w:jc w:val="left"/>
        <w:tblLook w:firstColumn="1" w:firstRow="1" w:lastColumn="0" w:lastRow="0" w:noHBand="0" w:noVBand="1" w:val="04A0"/>
      </w:tblPr>
      <w:tblGrid>
        <w:gridCol w:w="8784"/>
      </w:tblGrid>
      <w:tr>
        <w:tc>
          <w:tcPr>
            <w:tcW w:type="dxa" w:w="8784"/>
            <w:shd w:val="clear" w:color="auto" w:fill="F4ECF7"/>
            <w:tcBorders>
              <w:top w:val="single" w:sz="4" w:space="0" w:color="6E2F7C"/>
              <w:left w:val="single" w:sz="4" w:space="0" w:color="6E2F7C"/>
              <w:bottom w:val="single" w:sz="4" w:space="0" w:color="6E2F7C"/>
              <w:right w:val="single" w:sz="4" w:space="0" w:color="6E2F7C"/>
            </w:tcBorders>
          </w:tcPr>
          <w:p>
            <w:pPr>
              <w:spacing w:before="80" w:after="80"/>
              <w:ind w:left="144"/>
            </w:pPr>
            <w:r>
              <w:rPr>
                <w:b/>
                <w:color w:val="6E2F7C"/>
                <w:sz w:val="20"/>
              </w:rPr>
              <w:t xml:space="preserve">⚑  Critère de sortie : </w:t>
            </w:r>
            <w:r>
              <w:rPr>
                <w:sz w:val="20"/>
              </w:rPr>
              <w:t>Couverture de code ≥ 80% sur les modules critiques. Zéro test unitaire en échec. La suite de tests s'exécute automatiquement à chaque push via le pipeline CI/CD.</w:t>
            </w:r>
          </w:p>
        </w:tc>
      </w:tr>
    </w:tbl>
    <w:p>
      <w:pPr>
        <w:spacing w:after="40"/>
      </w:pPr>
    </w:p>
    <w:tbl>
      <w:tblPr>
        <w:tblStyle w:val="TableGrid"/>
        <w:tblW w:type="auto" w:w="0"/>
        <w:jc w:val="left"/>
        <w:tblLook w:firstColumn="1" w:firstRow="1" w:lastColumn="0" w:lastRow="0" w:noHBand="0" w:noVBand="1" w:val="04A0"/>
      </w:tblPr>
      <w:tblGrid>
        <w:gridCol w:w="8784"/>
      </w:tblGrid>
      <w:tr>
        <w:tc>
          <w:tcPr>
            <w:tcW w:type="dxa" w:w="8784"/>
            <w:shd w:val="clear" w:color="auto" w:fill="FFF3CD"/>
            <w:tcBorders>
              <w:top w:val="single" w:sz="4" w:space="0" w:color="856404"/>
              <w:left w:val="single" w:sz="4" w:space="0" w:color="856404"/>
              <w:bottom w:val="single" w:sz="4" w:space="0" w:color="856404"/>
              <w:right w:val="single" w:sz="4" w:space="0" w:color="856404"/>
            </w:tcBorders>
          </w:tcPr>
          <w:p>
            <w:pPr>
              <w:spacing w:before="80" w:after="80"/>
              <w:ind w:left="144"/>
            </w:pPr>
            <w:r>
              <w:rPr>
                <w:b/>
                <w:color w:val="856404"/>
                <w:sz w:val="20"/>
              </w:rPr>
              <w:t xml:space="preserve">⚑  Principe clé : </w:t>
            </w:r>
            <w:r>
              <w:rPr>
                <w:sz w:val="20"/>
              </w:rPr>
              <w:t>Un test unitaire qui passe ne prouve pas que le système fonctionne — il prouve seulement que l'unité testée se comporte correctement en isolation. C'est nécessaire mais non suffisant. C'est pourquoi les tests d'intégration et de performance sont indispensables.</w:t>
            </w:r>
          </w:p>
        </w:tc>
      </w:tr>
    </w:tbl>
    <w:p>
      <w:pPr>
        <w:spacing w:after="40"/>
      </w:pPr>
    </w:p>
    <w:p>
      <w:pPr>
        <w:spacing w:before="360" w:after="80"/>
      </w:pPr>
      <w:r>
        <w:rPr>
          <w:b/>
          <w:color w:val="7B241C"/>
          <w:sz w:val="28"/>
        </w:rPr>
        <w:t>Phase 7 — Test intégration</w:t>
      </w:r>
    </w:p>
    <w:p>
      <w:pPr>
        <w:spacing w:before="40" w:after="160"/>
        <w:pBdr>
          <w:bottom w:val="single" w:sz="6" w:space="1" w:color="7B241C"/>
        </w:pBdr>
      </w:pPr>
    </w:p>
    <w:p>
      <w:pPr>
        <w:spacing w:before="80" w:after="40"/>
        <w:ind w:left="360"/>
      </w:pPr>
      <w:r>
        <w:rPr>
          <w:b/>
          <w:color w:val="1F4E79"/>
          <w:sz w:val="22"/>
        </w:rPr>
        <w:t xml:space="preserve">Objectif général : </w:t>
      </w:r>
      <w:r>
        <w:rPr>
          <w:sz w:val="22"/>
        </w:rPr>
        <w:t>Valider que les différents modules du système fonctionnent correctement ensemble, et que les interfaces entre composants (APIs, base de données, services tiers) se comportent comme prévu dans des scénarios réels d'utilisation. Cette phase révèle les défauts qui n'apparaissent qu'à la jonction entre les composants.</w:t>
      </w:r>
    </w:p>
    <w:p>
      <w:pPr>
        <w:spacing w:before="160" w:after="40"/>
        <w:ind w:left="288"/>
      </w:pPr>
      <w:r>
        <w:rPr>
          <w:b/>
          <w:color w:val="2C5F8A"/>
          <w:sz w:val="22"/>
        </w:rPr>
        <w:t>▸  Types de tests d'intégration</w:t>
      </w:r>
    </w:p>
    <w:p>
      <w:pPr>
        <w:pStyle w:val="ListBullet"/>
        <w:spacing w:before="20" w:after="20"/>
        <w:ind w:left="720"/>
      </w:pPr>
      <w:r>
        <w:rPr>
          <w:sz w:val="21"/>
        </w:rPr>
        <w:t>Tests d'intégration ascendante (bottom-up) : on part des modules les plus bas et on monte vers les couches applicatives</w:t>
      </w:r>
    </w:p>
    <w:p>
      <w:pPr>
        <w:pStyle w:val="ListBullet"/>
        <w:spacing w:before="20" w:after="20"/>
        <w:ind w:left="720"/>
      </w:pPr>
      <w:r>
        <w:rPr>
          <w:sz w:val="21"/>
        </w:rPr>
        <w:t>Tests d'intégration descendante (top-down) : on teste depuis l'interface utilisateur vers les couches basses</w:t>
      </w:r>
    </w:p>
    <w:p>
      <w:pPr>
        <w:pStyle w:val="ListBullet"/>
        <w:spacing w:before="20" w:after="20"/>
        <w:ind w:left="720"/>
      </w:pPr>
      <w:r>
        <w:rPr>
          <w:sz w:val="21"/>
        </w:rPr>
        <w:t>Tests de contrat d'API : valider que chaque endpoint respecte exactement le contrat défini (format, statuts HTTP, données)</w:t>
      </w:r>
    </w:p>
    <w:p>
      <w:pPr>
        <w:pStyle w:val="ListBullet"/>
        <w:spacing w:before="20" w:after="20"/>
        <w:ind w:left="720"/>
      </w:pPr>
      <w:r>
        <w:rPr>
          <w:sz w:val="21"/>
        </w:rPr>
        <w:t>Tests de base de données : valider les transactions, les contraintes d'intégrité et les migrations</w:t>
      </w:r>
    </w:p>
    <w:p>
      <w:pPr>
        <w:pStyle w:val="ListBullet"/>
        <w:spacing w:before="20" w:after="20"/>
        <w:ind w:left="720"/>
      </w:pPr>
      <w:r>
        <w:rPr>
          <w:sz w:val="21"/>
        </w:rPr>
        <w:t>Tests des services tiers : simuler les appels réels aux passerelles de paiement, services d'email, OAuth, etc.</w:t>
      </w:r>
    </w:p>
    <w:p>
      <w:pPr>
        <w:spacing w:before="160" w:after="40"/>
        <w:ind w:left="288"/>
      </w:pPr>
      <w:r>
        <w:rPr>
          <w:b/>
          <w:color w:val="2C5F8A"/>
          <w:sz w:val="22"/>
        </w:rPr>
        <w:t>▸  Tests d'acceptation utilisateur (UAT)</w:t>
      </w:r>
    </w:p>
    <w:p>
      <w:pPr>
        <w:pStyle w:val="ListBullet"/>
        <w:spacing w:before="20" w:after="20"/>
        <w:ind w:left="720"/>
      </w:pPr>
      <w:r>
        <w:rPr>
          <w:sz w:val="21"/>
        </w:rPr>
        <w:t>Déploiement en environnement staging (miroir de production, données anonymisées)</w:t>
      </w:r>
    </w:p>
    <w:p>
      <w:pPr>
        <w:pStyle w:val="ListBullet"/>
        <w:spacing w:before="20" w:after="20"/>
        <w:ind w:left="720"/>
      </w:pPr>
      <w:r>
        <w:rPr>
          <w:sz w:val="21"/>
        </w:rPr>
        <w:t>Exécution des scénarios utilisateurs complets de bout en bout</w:t>
      </w:r>
    </w:p>
    <w:p>
      <w:pPr>
        <w:pStyle w:val="ListBullet"/>
        <w:spacing w:before="20" w:after="20"/>
        <w:ind w:left="720"/>
      </w:pPr>
      <w:r>
        <w:rPr>
          <w:sz w:val="21"/>
        </w:rPr>
        <w:t>Validation par le client ou ses représentants désignés</w:t>
      </w:r>
    </w:p>
    <w:p>
      <w:pPr>
        <w:pStyle w:val="ListBullet"/>
        <w:spacing w:before="20" w:after="20"/>
        <w:ind w:left="720"/>
      </w:pPr>
      <w:r>
        <w:rPr>
          <w:sz w:val="21"/>
        </w:rPr>
        <w:t>Documentation des anomalies et suivi jusqu'à leur correction</w:t>
      </w:r>
    </w:p>
    <w:p>
      <w:pPr>
        <w:pStyle w:val="ListBullet"/>
        <w:spacing w:before="20" w:after="20"/>
        <w:ind w:left="720"/>
      </w:pPr>
      <w:r>
        <w:rPr>
          <w:sz w:val="21"/>
        </w:rPr>
        <w:t>Signature du procès-verbal de recette par le client</w:t>
      </w:r>
    </w:p>
    <w:p>
      <w:pPr>
        <w:spacing w:before="80" w:after="40"/>
        <w:ind w:left="360"/>
      </w:pPr>
      <w:r>
        <w:rPr>
          <w:b/>
          <w:color w:val="1F4E79"/>
          <w:sz w:val="22"/>
        </w:rPr>
        <w:t xml:space="preserve">Livrables : </w:t>
      </w:r>
      <w:r>
        <w:rPr>
          <w:sz w:val="22"/>
        </w:rPr>
        <w:t>Plan de tests d'intégration, scripts automatisés (Postman, Cypress, Selenium), rapport UAT signé, liste des anomalies résolues, procès-verbal de recette.</w:t>
      </w:r>
    </w:p>
    <w:p>
      <w:pPr>
        <w:spacing w:before="80" w:after="40"/>
        <w:ind w:left="360"/>
      </w:pPr>
      <w:r>
        <w:rPr>
          <w:b/>
          <w:color w:val="1F4E79"/>
          <w:sz w:val="22"/>
        </w:rPr>
        <w:t xml:space="preserve">Rôles impliqués : </w:t>
      </w:r>
      <w:r>
        <w:rPr>
          <w:sz w:val="22"/>
        </w:rPr>
        <w:t>Équipe QA, développeurs, représentants du client (UAT), chef de projet.</w:t>
      </w:r>
    </w:p>
    <w:tbl>
      <w:tblPr>
        <w:tblStyle w:val="TableGrid"/>
        <w:tblW w:type="auto" w:w="0"/>
        <w:jc w:val="left"/>
        <w:tblLook w:firstColumn="1" w:firstRow="1" w:lastColumn="0" w:lastRow="0" w:noHBand="0" w:noVBand="1" w:val="04A0"/>
      </w:tblPr>
      <w:tblGrid>
        <w:gridCol w:w="8784"/>
      </w:tblGrid>
      <w:tr>
        <w:tc>
          <w:tcPr>
            <w:tcW w:type="dxa" w:w="8784"/>
            <w:shd w:val="clear" w:color="auto" w:fill="FDEDEC"/>
            <w:tcBorders>
              <w:top w:val="single" w:sz="4" w:space="0" w:color="7B241C"/>
              <w:left w:val="single" w:sz="4" w:space="0" w:color="7B241C"/>
              <w:bottom w:val="single" w:sz="4" w:space="0" w:color="7B241C"/>
              <w:right w:val="single" w:sz="4" w:space="0" w:color="7B241C"/>
            </w:tcBorders>
          </w:tcPr>
          <w:p>
            <w:pPr>
              <w:spacing w:before="80" w:after="80"/>
              <w:ind w:left="144"/>
            </w:pPr>
            <w:r>
              <w:rPr>
                <w:b/>
                <w:color w:val="7B241C"/>
                <w:sz w:val="20"/>
              </w:rPr>
              <w:t xml:space="preserve">⚑  Jalon Go-Live : </w:t>
            </w:r>
            <w:r>
              <w:rPr>
                <w:sz w:val="20"/>
              </w:rPr>
              <w:t>UAT validé et signé par le client. Zéro anomalie bloquante (P1) ou majeure (P2) non résolue. Autorisation formelle de déploiement en production accordée par le comité de pilotage.</w:t>
            </w:r>
          </w:p>
        </w:tc>
      </w:tr>
    </w:tbl>
    <w:p>
      <w:pPr>
        <w:spacing w:after="40"/>
      </w:pPr>
    </w:p>
    <w:tbl>
      <w:tblPr>
        <w:tblStyle w:val="TableGrid"/>
        <w:tblW w:type="auto" w:w="0"/>
        <w:jc w:val="left"/>
        <w:tblLook w:firstColumn="1" w:firstRow="1" w:lastColumn="0" w:lastRow="0" w:noHBand="0" w:noVBand="1" w:val="04A0"/>
      </w:tblPr>
      <w:tblGrid>
        <w:gridCol w:w="8784"/>
      </w:tblGrid>
      <w:tr>
        <w:tc>
          <w:tcPr>
            <w:tcW w:type="dxa" w:w="8784"/>
            <w:shd w:val="clear" w:color="auto" w:fill="EBF5FB"/>
            <w:tcBorders>
              <w:top w:val="single" w:sz="4" w:space="0" w:color="1A5276"/>
              <w:left w:val="single" w:sz="4" w:space="0" w:color="1A5276"/>
              <w:bottom w:val="single" w:sz="4" w:space="0" w:color="1A5276"/>
              <w:right w:val="single" w:sz="4" w:space="0" w:color="1A5276"/>
            </w:tcBorders>
          </w:tcPr>
          <w:p>
            <w:pPr>
              <w:spacing w:before="80" w:after="80"/>
              <w:ind w:left="144"/>
            </w:pPr>
            <w:r>
              <w:rPr>
                <w:b/>
                <w:color w:val="1A5276"/>
                <w:sz w:val="20"/>
              </w:rPr>
              <w:t xml:space="preserve">⚑  Distinction importante : </w:t>
            </w:r>
            <w:r>
              <w:rPr>
                <w:sz w:val="20"/>
              </w:rPr>
              <w:t>Les tests unitaires prouvent que chaque pièce fonctionne seule. Les tests d'intégration prouvent que les pièces fonctionnent ensemble. Les deux sont nécessaires : un système peut avoir 100% de couverture unitaire et quand même échouer à l'intégration si les interfaces sont mal définies.</w:t>
            </w:r>
          </w:p>
        </w:tc>
      </w:tr>
    </w:tbl>
    <w:p>
      <w:pPr>
        <w:spacing w:after="40"/>
      </w:pPr>
    </w:p>
    <w:p>
      <w:pPr>
        <w:spacing w:before="360" w:after="80"/>
      </w:pPr>
      <w:r>
        <w:rPr>
          <w:b/>
          <w:color w:val="0B5345"/>
          <w:sz w:val="28"/>
        </w:rPr>
        <w:t>Phase 8 — Test performance</w:t>
      </w:r>
    </w:p>
    <w:p>
      <w:pPr>
        <w:spacing w:before="40" w:after="160"/>
        <w:pBdr>
          <w:bottom w:val="single" w:sz="6" w:space="1" w:color="0B5345"/>
        </w:pBdr>
      </w:pPr>
    </w:p>
    <w:p>
      <w:pPr>
        <w:spacing w:before="80" w:after="40"/>
        <w:ind w:left="360"/>
      </w:pPr>
      <w:r>
        <w:rPr>
          <w:b/>
          <w:color w:val="1F4E79"/>
          <w:sz w:val="22"/>
        </w:rPr>
        <w:t xml:space="preserve">Objectif général : </w:t>
      </w:r>
      <w:r>
        <w:rPr>
          <w:sz w:val="22"/>
        </w:rPr>
        <w:t>Évaluer le comportement du système sous charge réelle et simulée afin de s'assurer qu'il respecte les exigences non-fonctionnelles de performance : temps de réponse, capacité de montée en charge, stabilité sous stress et résilience aux pics de trafic. Cette phase est critique avant tout déploiement en production.</w:t>
      </w:r>
    </w:p>
    <w:p>
      <w:pPr>
        <w:spacing w:before="160" w:after="40"/>
        <w:ind w:left="288"/>
      </w:pPr>
      <w:r>
        <w:rPr>
          <w:b/>
          <w:color w:val="2C5F8A"/>
          <w:sz w:val="22"/>
        </w:rPr>
        <w:t>▸  Types de tests de performance</w:t>
      </w:r>
    </w:p>
    <w:p>
      <w:pPr>
        <w:pStyle w:val="ListBullet"/>
        <w:spacing w:before="20" w:after="20"/>
        <w:ind w:left="720"/>
      </w:pPr>
      <w:r>
        <w:rPr>
          <w:sz w:val="21"/>
        </w:rPr>
        <w:t>Test de charge (Load Test) : simuler le volume d'utilisateurs simultanés prévu en production — valider que le système tient sous charge normale</w:t>
      </w:r>
    </w:p>
    <w:p>
      <w:pPr>
        <w:pStyle w:val="ListBullet"/>
        <w:spacing w:before="20" w:after="20"/>
        <w:ind w:left="720"/>
      </w:pPr>
      <w:r>
        <w:rPr>
          <w:sz w:val="21"/>
        </w:rPr>
        <w:t>Test de montée en charge (Stress Test) : augmenter progressivement la charge au-delà des limites prévues — identifier le point de rupture du système</w:t>
      </w:r>
    </w:p>
    <w:p>
      <w:pPr>
        <w:pStyle w:val="ListBullet"/>
        <w:spacing w:before="20" w:after="20"/>
        <w:ind w:left="720"/>
      </w:pPr>
      <w:r>
        <w:rPr>
          <w:sz w:val="21"/>
        </w:rPr>
        <w:t>Test d'endurance (Soak Test) : maintenir une charge soutenue sur plusieurs heures ou jours — détecter les fuites mémoire et la dégradation progressive</w:t>
      </w:r>
    </w:p>
    <w:p>
      <w:pPr>
        <w:pStyle w:val="ListBullet"/>
        <w:spacing w:before="20" w:after="20"/>
        <w:ind w:left="720"/>
      </w:pPr>
      <w:r>
        <w:rPr>
          <w:sz w:val="21"/>
        </w:rPr>
        <w:t>Test de pic (Spike Test) : simuler une augmentation soudaine et massive du trafic (ex. : campagne virale, ouverture des inscriptions) — valider l'élasticité</w:t>
      </w:r>
    </w:p>
    <w:p>
      <w:pPr>
        <w:pStyle w:val="ListBullet"/>
        <w:spacing w:before="20" w:after="20"/>
        <w:ind w:left="720"/>
      </w:pPr>
      <w:r>
        <w:rPr>
          <w:sz w:val="21"/>
        </w:rPr>
        <w:t>Test de volume : évaluer le comportement avec un très grand volume de données en base de données</w:t>
      </w:r>
    </w:p>
    <w:p>
      <w:pPr>
        <w:spacing w:before="160" w:after="40"/>
        <w:ind w:left="288"/>
      </w:pPr>
      <w:r>
        <w:rPr>
          <w:b/>
          <w:color w:val="2C5F8A"/>
          <w:sz w:val="22"/>
        </w:rPr>
        <w:t>▸  Outils et métriques</w:t>
      </w:r>
    </w:p>
    <w:p>
      <w:pPr>
        <w:pStyle w:val="ListBullet"/>
        <w:spacing w:before="20" w:after="20"/>
        <w:ind w:left="720"/>
      </w:pPr>
      <w:r>
        <w:rPr>
          <w:sz w:val="21"/>
        </w:rPr>
        <w:t>Outils : Apache JMeter, Locust (Python), k6, Gatling, Artillery</w:t>
      </w:r>
    </w:p>
    <w:p>
      <w:pPr>
        <w:pStyle w:val="ListBullet"/>
        <w:spacing w:before="20" w:after="20"/>
        <w:ind w:left="720"/>
      </w:pPr>
      <w:r>
        <w:rPr>
          <w:sz w:val="21"/>
        </w:rPr>
        <w:t>Métriques clés : temps de réponse moyen (P50), percentile 95 (P95), percentile 99 (P99)</w:t>
      </w:r>
    </w:p>
    <w:p>
      <w:pPr>
        <w:pStyle w:val="ListBullet"/>
        <w:spacing w:before="20" w:after="20"/>
        <w:ind w:left="720"/>
      </w:pPr>
      <w:r>
        <w:rPr>
          <w:sz w:val="21"/>
        </w:rPr>
        <w:t>Throughput : nombre de requêtes traitées par seconde (RPS)</w:t>
      </w:r>
    </w:p>
    <w:p>
      <w:pPr>
        <w:pStyle w:val="ListBullet"/>
        <w:spacing w:before="20" w:after="20"/>
        <w:ind w:left="720"/>
      </w:pPr>
      <w:r>
        <w:rPr>
          <w:sz w:val="21"/>
        </w:rPr>
        <w:t>Taux d'erreur : pourcentage de requêtes en échec sous charge</w:t>
      </w:r>
    </w:p>
    <w:p>
      <w:pPr>
        <w:pStyle w:val="ListBullet"/>
        <w:spacing w:before="20" w:after="20"/>
        <w:ind w:left="720"/>
      </w:pPr>
      <w:r>
        <w:rPr>
          <w:sz w:val="21"/>
        </w:rPr>
        <w:t>Utilisation des ressources : CPU, mémoire, I/O disque, bande passante réseau</w:t>
      </w:r>
    </w:p>
    <w:p>
      <w:pPr>
        <w:spacing w:before="160" w:after="40"/>
        <w:ind w:left="288"/>
      </w:pPr>
      <w:r>
        <w:rPr>
          <w:b/>
          <w:color w:val="2C5F8A"/>
          <w:sz w:val="22"/>
        </w:rPr>
        <w:t>▸  Activités de la phase</w:t>
      </w:r>
    </w:p>
    <w:p>
      <w:pPr>
        <w:pStyle w:val="ListBullet"/>
        <w:spacing w:before="20" w:after="20"/>
        <w:ind w:left="720"/>
      </w:pPr>
      <w:r>
        <w:rPr>
          <w:sz w:val="21"/>
        </w:rPr>
        <w:t>Définir les SLA (Service Level Agreements) cibles : ex. « P95 &lt; 500ms pour 1000 utilisateurs simultanés »</w:t>
      </w:r>
    </w:p>
    <w:p>
      <w:pPr>
        <w:pStyle w:val="ListBullet"/>
        <w:spacing w:before="20" w:after="20"/>
        <w:ind w:left="720"/>
      </w:pPr>
      <w:r>
        <w:rPr>
          <w:sz w:val="21"/>
        </w:rPr>
        <w:t>Créer les scénarios de test représentatifs des comportements utilisateurs réels</w:t>
      </w:r>
    </w:p>
    <w:p>
      <w:pPr>
        <w:pStyle w:val="ListBullet"/>
        <w:spacing w:before="20" w:after="20"/>
        <w:ind w:left="720"/>
      </w:pPr>
      <w:r>
        <w:rPr>
          <w:sz w:val="21"/>
        </w:rPr>
        <w:t>Exécuter les tests en environnement de staging identique à la production</w:t>
      </w:r>
    </w:p>
    <w:p>
      <w:pPr>
        <w:pStyle w:val="ListBullet"/>
        <w:spacing w:before="20" w:after="20"/>
        <w:ind w:left="720"/>
      </w:pPr>
      <w:r>
        <w:rPr>
          <w:sz w:val="21"/>
        </w:rPr>
        <w:t>Analyser les résultats, identifier les goulots d'étranglement (bottlenecks)</w:t>
      </w:r>
    </w:p>
    <w:p>
      <w:pPr>
        <w:pStyle w:val="ListBullet"/>
        <w:spacing w:before="20" w:after="20"/>
        <w:ind w:left="720"/>
      </w:pPr>
      <w:r>
        <w:rPr>
          <w:sz w:val="21"/>
        </w:rPr>
        <w:t>Optimiser : indexes BDD, mise en cache, compression, optimisation des requêtes</w:t>
      </w:r>
    </w:p>
    <w:p>
      <w:pPr>
        <w:pStyle w:val="ListBullet"/>
        <w:spacing w:before="20" w:after="20"/>
        <w:ind w:left="720"/>
      </w:pPr>
      <w:r>
        <w:rPr>
          <w:sz w:val="21"/>
        </w:rPr>
        <w:t>Re-tester après optimisation jusqu'à l'atteinte des SLA définis</w:t>
      </w:r>
    </w:p>
    <w:p>
      <w:pPr>
        <w:spacing w:before="80" w:after="40"/>
        <w:ind w:left="360"/>
      </w:pPr>
      <w:r>
        <w:rPr>
          <w:b/>
          <w:color w:val="1F4E79"/>
          <w:sz w:val="22"/>
        </w:rPr>
        <w:t xml:space="preserve">Livrables : </w:t>
      </w:r>
      <w:r>
        <w:rPr>
          <w:sz w:val="22"/>
        </w:rPr>
        <w:t>Rapport de tests de performance complet (résultats par scénario), rapport d'optimisations appliquées, SLA documentés et validés, plan de monitoring en production, recommandations de scalabilité.</w:t>
      </w:r>
    </w:p>
    <w:tbl>
      <w:tblPr>
        <w:tblStyle w:val="TableGrid"/>
        <w:tblW w:type="auto" w:w="0"/>
        <w:jc w:val="left"/>
        <w:tblLook w:firstColumn="1" w:firstRow="1" w:lastColumn="0" w:lastRow="0" w:noHBand="0" w:noVBand="1" w:val="04A0"/>
      </w:tblPr>
      <w:tblGrid>
        <w:gridCol w:w="8784"/>
      </w:tblGrid>
      <w:tr>
        <w:tc>
          <w:tcPr>
            <w:tcW w:type="dxa" w:w="8784"/>
            <w:shd w:val="clear" w:color="auto" w:fill="E9F7EF"/>
            <w:tcBorders>
              <w:top w:val="single" w:sz="4" w:space="0" w:color="0B5345"/>
              <w:left w:val="single" w:sz="4" w:space="0" w:color="0B5345"/>
              <w:bottom w:val="single" w:sz="4" w:space="0" w:color="0B5345"/>
              <w:right w:val="single" w:sz="4" w:space="0" w:color="0B5345"/>
            </w:tcBorders>
          </w:tcPr>
          <w:p>
            <w:pPr>
              <w:spacing w:before="80" w:after="80"/>
              <w:ind w:left="144"/>
            </w:pPr>
            <w:r>
              <w:rPr>
                <w:b/>
                <w:color w:val="0B5345"/>
                <w:sz w:val="20"/>
              </w:rPr>
              <w:t xml:space="preserve">⚑  Jalon final : </w:t>
            </w:r>
            <w:r>
              <w:rPr>
                <w:sz w:val="20"/>
              </w:rPr>
              <w:t>Tous les SLA de performance sont atteints en environnement staging. Le rapport de tests est approuvé par l'équipe technique et le sponsor. Le système est déclaré prêt pour le déploiement en production.</w:t>
            </w:r>
          </w:p>
        </w:tc>
      </w:tr>
    </w:tbl>
    <w:p>
      <w:pPr>
        <w:spacing w:after="40"/>
      </w:pPr>
    </w:p>
    <w:tbl>
      <w:tblPr>
        <w:tblStyle w:val="TableGrid"/>
        <w:tblW w:type="auto" w:w="0"/>
        <w:jc w:val="left"/>
        <w:tblLook w:firstColumn="1" w:firstRow="1" w:lastColumn="0" w:lastRow="0" w:noHBand="0" w:noVBand="1" w:val="04A0"/>
      </w:tblPr>
      <w:tblGrid>
        <w:gridCol w:w="8784"/>
      </w:tblGrid>
      <w:tr>
        <w:tc>
          <w:tcPr>
            <w:tcW w:type="dxa" w:w="8784"/>
            <w:shd w:val="clear" w:color="auto" w:fill="FFF3CD"/>
            <w:tcBorders>
              <w:top w:val="single" w:sz="4" w:space="0" w:color="856404"/>
              <w:left w:val="single" w:sz="4" w:space="0" w:color="856404"/>
              <w:bottom w:val="single" w:sz="4" w:space="0" w:color="856404"/>
              <w:right w:val="single" w:sz="4" w:space="0" w:color="856404"/>
            </w:tcBorders>
          </w:tcPr>
          <w:p>
            <w:pPr>
              <w:spacing w:before="80" w:after="80"/>
              <w:ind w:left="144"/>
            </w:pPr>
            <w:r>
              <w:rPr>
                <w:b/>
                <w:color w:val="856404"/>
                <w:sz w:val="20"/>
              </w:rPr>
              <w:t xml:space="preserve">⚑  Pourquoi ne pas sauter cette phase : </w:t>
            </w:r>
            <w:r>
              <w:rPr>
                <w:sz w:val="20"/>
              </w:rPr>
              <w:t>Un système fonctionnel en tests unitaires et d'intégration peut s'effondrer sous la charge réelle. Les tests de performance révèlent des problèmes structurels (requêtes N+1, absence de cache, connexions BDD non poolées) qui sont impossibles à détecter en isolation. Le coût de l'optimisation en production est 10 à 50 fois supérieur à celui en pré-production.</w:t>
            </w:r>
          </w:p>
        </w:tc>
      </w:tr>
    </w:tbl>
    <w:p>
      <w:pPr>
        <w:spacing w:after="40"/>
      </w:pPr>
    </w:p>
    <w:p>
      <w:r>
        <w:br w:type="page"/>
      </w:r>
    </w:p>
    <w:p>
      <w:pPr>
        <w:spacing w:before="120" w:after="120"/>
      </w:pPr>
      <w:r>
        <w:rPr>
          <w:b/>
          <w:color w:val="1F4E79"/>
          <w:sz w:val="40"/>
        </w:rPr>
        <w:t>Analyse</w:t>
      </w:r>
    </w:p>
    <w:p>
      <w:pPr>
        <w:spacing w:before="40" w:after="160"/>
        <w:pBdr>
          <w:bottom w:val="single" w:sz="6" w:space="1" w:color="1F4E79"/>
        </w:pBdr>
      </w:pPr>
    </w:p>
    <w:p>
      <w:pPr>
        <w:spacing w:before="240" w:after="80"/>
      </w:pPr>
      <w:r>
        <w:rPr>
          <w:b/>
          <w:color w:val="1A5276"/>
          <w:sz w:val="24"/>
        </w:rPr>
        <w:t>Question 1 — Pourquoi le découpage en phases facilite-t-il la gestion de projet ?</w:t>
      </w:r>
    </w:p>
    <w:p>
      <w:pPr>
        <w:spacing w:before="80" w:after="80"/>
        <w:ind w:left="216"/>
      </w:pPr>
      <w:r>
        <w:rPr>
          <w:sz w:val="22"/>
        </w:rPr>
        <w:t>Le découpage en phases est l'un des fondements de la gestion de projet moderne, et sa valeur tient à plusieurs mécanismes complémentaires.</w:t>
      </w:r>
    </w:p>
    <w:p>
      <w:pPr>
        <w:spacing w:before="160" w:after="40"/>
        <w:ind w:left="288"/>
      </w:pPr>
      <w:r>
        <w:rPr>
          <w:b/>
          <w:color w:val="1A5276"/>
          <w:sz w:val="22"/>
        </w:rPr>
        <w:t>▸  Réduction de la complexité par décomposition</w:t>
      </w:r>
    </w:p>
    <w:p>
      <w:pPr>
        <w:spacing w:before="60" w:after="60"/>
        <w:ind w:left="432"/>
      </w:pPr>
      <w:r>
        <w:rPr>
          <w:sz w:val="22"/>
        </w:rPr>
        <w:t>Un projet logiciel est, par nature, un système complexe qui implique des dizaines de décisions interdépendantes. En le découpant en huit phases distinctes, on applique le principe de séparation des préoccupations : chaque phase traite un ensemble cohérent de questions, ce qui rend chaque sous-problème cognitivement gérable. L'équipe peut se concentrer pleinement sur une étape avant d'aborder la suivante. Par exemple, séparer les tests unitaires (phase 6), d'intégration (phase 7) et de performance (phase 8) permet d'adresser chaque dimension qualité avec les outils et l'attention appropriés.</w:t>
      </w:r>
    </w:p>
    <w:p>
      <w:pPr>
        <w:spacing w:before="160" w:after="40"/>
        <w:ind w:left="288"/>
      </w:pPr>
      <w:r>
        <w:rPr>
          <w:b/>
          <w:color w:val="1A5276"/>
          <w:sz w:val="22"/>
        </w:rPr>
        <w:t>▸  Création de points de contrôle formels (jalons)</w:t>
      </w:r>
    </w:p>
    <w:p>
      <w:pPr>
        <w:spacing w:before="60" w:after="60"/>
        <w:ind w:left="432"/>
      </w:pPr>
      <w:r>
        <w:rPr>
          <w:sz w:val="22"/>
        </w:rPr>
        <w:t>Chaque phase se termine par un jalon Go/No-Go. Ces jalons fonctionnent comme des verrous de qualité qui empêchent l'accumulation de défauts entre les phases. Dans un projet sans découpage, les problèmes de spécification découverts en phase de test coûtent en moyenne 10 à 100 fois plus cher à corriger qu'en phase d'étude (règle des 10x de Barry Boehm, Software Engineering Economics, 1981). Le découpage inverse cette équation en rendant les erreurs détectables le plus tôt possible.</w:t>
      </w:r>
    </w:p>
    <w:p>
      <w:pPr>
        <w:spacing w:before="160" w:after="40"/>
        <w:ind w:left="288"/>
      </w:pPr>
      <w:r>
        <w:rPr>
          <w:b/>
          <w:color w:val="1A5276"/>
          <w:sz w:val="22"/>
        </w:rPr>
        <w:t>▸  Facilitation de la communication et de la gouvernance</w:t>
      </w:r>
    </w:p>
    <w:p>
      <w:pPr>
        <w:spacing w:before="60" w:after="60"/>
        <w:ind w:left="432"/>
      </w:pPr>
      <w:r>
        <w:rPr>
          <w:sz w:val="22"/>
        </w:rPr>
        <w:t>Le découpage fournit un vocabulaire commun partagé par toutes les parties : développeurs, clients, dirigeants et financeurs. Lorsque le chef de projet annonce « Nous entrons en phase 7 — Test intégration », chaque partie prenante comprend ce que cela implique en termes de livrables, de durée et de décisions à venir. Cette transparence réduit l'anxiété des clients et facilite les arbitrages budgétaires.</w:t>
      </w:r>
    </w:p>
    <w:p>
      <w:pPr>
        <w:spacing w:before="160" w:after="40"/>
        <w:ind w:left="288"/>
      </w:pPr>
      <w:r>
        <w:rPr>
          <w:b/>
          <w:color w:val="1A5276"/>
          <w:sz w:val="22"/>
        </w:rPr>
        <w:t>▸  Réduction des risques par validation progressive</w:t>
      </w:r>
    </w:p>
    <w:p>
      <w:pPr>
        <w:spacing w:before="60" w:after="60"/>
        <w:ind w:left="432"/>
      </w:pPr>
      <w:r>
        <w:rPr>
          <w:sz w:val="22"/>
        </w:rPr>
        <w:t>Chaque phase valide les hypothèses de la précédente. La phase 4 (Solutions) valide les besoins recueillis en phase 3 (Étude). La phase 7 (Test intégration) valide que la réalisation de la phase 5 respecte bien les spécifications de la phase 3. Ce processus d'apprentissage progressif est particulièrement précieux dans les environnements incertains où les besoins évoluent.</w:t>
      </w:r>
    </w:p>
    <w:p>
      <w:pPr>
        <w:spacing w:before="320" w:after="80"/>
      </w:pPr>
      <w:r>
        <w:rPr>
          <w:b/>
          <w:color w:val="7B241C"/>
          <w:sz w:val="24"/>
        </w:rPr>
        <w:t>Question 2 — Que se passe-t-il si une phase n'est pas validée ?</w:t>
      </w:r>
    </w:p>
    <w:p>
      <w:pPr>
        <w:spacing w:before="80" w:after="80"/>
        <w:ind w:left="216"/>
      </w:pPr>
      <w:r>
        <w:rPr>
          <w:sz w:val="22"/>
        </w:rPr>
        <w:t>L'échec à valider une phase déclenche un processus de gestion structuré — ce n'est pas un événement catastrophique si le cadre de gouvernance est en place.</w:t>
      </w:r>
    </w:p>
    <w:p>
      <w:pPr>
        <w:spacing w:before="160" w:after="40"/>
        <w:ind w:left="288"/>
      </w:pPr>
      <w:r>
        <w:rPr>
          <w:b/>
          <w:color w:val="7B241C"/>
          <w:sz w:val="22"/>
        </w:rPr>
        <w:t>▸  Le mécanisme de blocage et de retour en arrière</w:t>
      </w:r>
    </w:p>
    <w:p>
      <w:pPr>
        <w:spacing w:before="60" w:after="60"/>
        <w:ind w:left="432"/>
      </w:pPr>
      <w:r>
        <w:rPr>
          <w:sz w:val="22"/>
        </w:rPr>
        <w:t>Lorsqu'un jalon Go/No-Go résulte en un No-Go, la règle est simple : aucun passage à la phase suivante n'est autorisé. L'équipe retourne dans la phase courante pour identifier la cause racine de l'échec, définir un plan de correction et soumettre à nouveau les livrables pour validation. Ce mécanisme est protecteur : il évite que des défauts de la phase d'étude ne se propagent jusqu'aux tests, où leur résolution serait exponentiellement plus coûteuse.</w:t>
      </w:r>
    </w:p>
    <w:p>
      <w:pPr>
        <w:spacing w:before="160" w:after="40"/>
        <w:ind w:left="288"/>
      </w:pPr>
      <w:r>
        <w:rPr>
          <w:b/>
          <w:color w:val="7B241C"/>
          <w:sz w:val="22"/>
        </w:rPr>
        <w:t>▸  Les scénarios possibles selon la phase</w:t>
      </w:r>
    </w:p>
    <w:p>
      <w:pPr>
        <w:pStyle w:val="ListBullet"/>
        <w:spacing w:before="20" w:after="20"/>
        <w:ind w:left="720"/>
      </w:pPr>
      <w:r>
        <w:rPr>
          <w:sz w:val="21"/>
        </w:rPr>
        <w:t>Phase 1 (Faisabilité) rejetée → Révision du périmètre ou abandon. Budget engagé minimal.</w:t>
      </w:r>
    </w:p>
    <w:p>
      <w:pPr>
        <w:pStyle w:val="ListBullet"/>
        <w:spacing w:before="20" w:after="20"/>
        <w:ind w:left="720"/>
      </w:pPr>
      <w:r>
        <w:rPr>
          <w:sz w:val="21"/>
        </w:rPr>
        <w:t>Phase 2 (Lancement) bloquée → L'équipe n'est pas constituée ou le plan est irréaliste. Révision avant démarrage.</w:t>
      </w:r>
    </w:p>
    <w:p>
      <w:pPr>
        <w:pStyle w:val="ListBullet"/>
        <w:spacing w:before="20" w:after="20"/>
        <w:ind w:left="720"/>
      </w:pPr>
      <w:r>
        <w:rPr>
          <w:sz w:val="21"/>
        </w:rPr>
        <w:t>Phase 3 (Étude) rejetée → Retour aux parties prenantes pour affiner les besoins. Risque de frustration client.</w:t>
      </w:r>
    </w:p>
    <w:p>
      <w:pPr>
        <w:pStyle w:val="ListBullet"/>
        <w:spacing w:before="20" w:after="20"/>
        <w:ind w:left="720"/>
      </w:pPr>
      <w:r>
        <w:rPr>
          <w:sz w:val="21"/>
        </w:rPr>
        <w:t>Phase 4 (Solutions) rejetée → Révision de l'architecture ou des maquettes. Coût modéré si détecté tôt.</w:t>
      </w:r>
    </w:p>
    <w:p>
      <w:pPr>
        <w:pStyle w:val="ListBullet"/>
        <w:spacing w:before="20" w:after="20"/>
        <w:ind w:left="720"/>
      </w:pPr>
      <w:r>
        <w:rPr>
          <w:sz w:val="21"/>
        </w:rPr>
        <w:t>Phase 5 (Réalisation) bloquée → Fonctionnalités incomplètes ou non conformes. Sprint supplémentaire requis.</w:t>
      </w:r>
    </w:p>
    <w:p>
      <w:pPr>
        <w:pStyle w:val="ListBullet"/>
        <w:spacing w:before="20" w:after="20"/>
        <w:ind w:left="720"/>
      </w:pPr>
      <w:r>
        <w:rPr>
          <w:sz w:val="21"/>
        </w:rPr>
        <w:t>Phase 6 (Test unitaire) bloquée → Couverture insuffisante ou trop de bugs. Retour en développement.</w:t>
      </w:r>
    </w:p>
    <w:p>
      <w:pPr>
        <w:pStyle w:val="ListBullet"/>
        <w:spacing w:before="20" w:after="20"/>
        <w:ind w:left="720"/>
      </w:pPr>
      <w:r>
        <w:rPr>
          <w:sz w:val="21"/>
        </w:rPr>
        <w:t>Phase 7 (Test intégration) rejetée → L'UAT révèle des écarts majeurs. Correctifs et nouvelle recette.</w:t>
      </w:r>
    </w:p>
    <w:p>
      <w:pPr>
        <w:pStyle w:val="ListBullet"/>
        <w:spacing w:before="20" w:after="20"/>
        <w:ind w:left="720"/>
      </w:pPr>
      <w:r>
        <w:rPr>
          <w:sz w:val="21"/>
        </w:rPr>
        <w:t>Phase 8 (Test performance) bloquée → SLA non atteints. Optimisations techniques et re-test obligatoires.</w:t>
      </w:r>
    </w:p>
    <w:p>
      <w:pPr>
        <w:spacing w:before="160" w:after="40"/>
        <w:ind w:left="288"/>
      </w:pPr>
      <w:r>
        <w:rPr>
          <w:b/>
          <w:color w:val="7B241C"/>
          <w:sz w:val="22"/>
        </w:rPr>
        <w:t>▸  Conséquences d'un No-Go ignoré</w:t>
      </w:r>
    </w:p>
    <w:p>
      <w:pPr>
        <w:spacing w:before="60" w:after="60"/>
        <w:ind w:left="432"/>
      </w:pPr>
      <w:r>
        <w:rPr>
          <w:sz w:val="22"/>
        </w:rPr>
        <w:t>Passer outre un No-Go sous pression temporelle ou budgétaire est l'une des décisions les plus risquées en gestion de projet. L'histoire du logiciel est jalonnée de cas emblématiques : le Healthcare.gov américain (2013) a été lancé avec des tests insuffisants sous pression politique, résultant en un échec public massif nécessitant 600M$ de corrections. Le principe est invariable : les problèmes non résolus ne disparaissent pas — ils se camouflent et resurgissent en production avec un coût humain et financier démultiplié.</w:t>
      </w:r>
    </w:p>
    <w:p>
      <w:pPr>
        <w:spacing w:before="320" w:after="80"/>
      </w:pPr>
      <w:r>
        <w:rPr>
          <w:b/>
          <w:color w:val="0B5345"/>
          <w:sz w:val="24"/>
        </w:rPr>
        <w:t>Question 3 — Quelle est la phase la plus critique, et pourquoi ?</w:t>
      </w:r>
    </w:p>
    <w:p>
      <w:pPr>
        <w:spacing w:before="80" w:after="80"/>
        <w:ind w:left="216"/>
      </w:pPr>
      <w:r>
        <w:rPr>
          <w:sz w:val="22"/>
        </w:rPr>
        <w:t>La réponse varie selon le contexte du projet, mais une analyse par impact systémique converge vers un consensus dans la littérature de génie logiciel.</w:t>
      </w:r>
    </w:p>
    <w:p>
      <w:pPr>
        <w:spacing w:before="160" w:after="40"/>
        <w:ind w:left="288"/>
      </w:pPr>
      <w:r>
        <w:rPr>
          <w:b/>
          <w:color w:val="0B5345"/>
          <w:sz w:val="22"/>
        </w:rPr>
        <w:t>▸  Argument pour la phase 3 — Étude</w:t>
      </w:r>
    </w:p>
    <w:p>
      <w:pPr>
        <w:spacing w:before="60" w:after="60"/>
        <w:ind w:left="432"/>
      </w:pPr>
      <w:r>
        <w:rPr>
          <w:sz w:val="22"/>
        </w:rPr>
        <w:t>La phase 3 — Étude (spécifications fonctionnelles) est collectivement considérée comme la phase la plus critique du cycle de vie d'un projet. Voici pourquoi :</w:t>
      </w:r>
    </w:p>
    <w:p>
      <w:pPr>
        <w:pStyle w:val="ListBullet"/>
        <w:spacing w:before="20" w:after="20"/>
        <w:ind w:left="720"/>
      </w:pPr>
      <w:r>
        <w:rPr>
          <w:sz w:val="21"/>
        </w:rPr>
        <w:t>Effet amplificateur des erreurs : une ambiguïté dans les spécifications se traduit par des fonctionnalités mal développées, des tests qui valident la mauvaise chose, et un produit livré qui ne répond pas au besoin réel.</w:t>
      </w:r>
    </w:p>
    <w:p>
      <w:pPr>
        <w:pStyle w:val="ListBullet"/>
        <w:spacing w:before="20" w:after="20"/>
        <w:ind w:left="720"/>
      </w:pPr>
      <w:r>
        <w:rPr>
          <w:sz w:val="21"/>
        </w:rPr>
        <w:t>Coût asymétrique des corrections : corriger une erreur en phase 3 coûte 1×. La même erreur détectée en réalisation (phase 5) coûte ~10×. Détectée lors des tests d'intégration (phase 7) : ~50×. En production : ~100×.</w:t>
      </w:r>
    </w:p>
    <w:p>
      <w:pPr>
        <w:pStyle w:val="ListBullet"/>
        <w:spacing w:before="20" w:after="20"/>
        <w:ind w:left="720"/>
      </w:pPr>
      <w:r>
        <w:rPr>
          <w:sz w:val="21"/>
        </w:rPr>
        <w:t>Dépendance en cascade : toutes les phases suivantes (4 à 8) sont construites sur les fondations de l'étude. Des spécifications incomplètes ou ambiguës condamnent le projet à accumuler une dette technique insurmontable.</w:t>
      </w:r>
    </w:p>
    <w:p>
      <w:pPr>
        <w:pStyle w:val="ListBullet"/>
        <w:spacing w:before="20" w:after="20"/>
        <w:ind w:left="720"/>
      </w:pPr>
      <w:r>
        <w:rPr>
          <w:sz w:val="21"/>
        </w:rPr>
        <w:t>Incompréhension mutuelle : c'est la phase où client et équipe technique ont le plus de risque de se parler sans se comprendre. Une mauvaise traduction des besoins métier en exigences techniques est la source n°1 d'échec projet (rapport Chaos Report, Standish Group).</w:t>
      </w:r>
    </w:p>
    <w:p>
      <w:pPr>
        <w:spacing w:before="160" w:after="40"/>
        <w:ind w:left="288"/>
      </w:pPr>
      <w:r>
        <w:rPr>
          <w:b/>
          <w:color w:val="0B5345"/>
          <w:sz w:val="22"/>
        </w:rPr>
        <w:t>▸  Nuance selon le contexte</w:t>
      </w:r>
    </w:p>
    <w:p>
      <w:pPr>
        <w:spacing w:before="60" w:after="60"/>
        <w:ind w:left="432"/>
      </w:pPr>
      <w:r>
        <w:rPr>
          <w:sz w:val="22"/>
        </w:rPr>
        <w:t>Dans un projet à forte contrainte de scalabilité (application grand public, plateforme SaaS), la phase 8 (Test performance) devient critique car un système qui s'effondre sous la charge réelle peut détruire la réputation d'un produit en quelques heures. Dans un projet réglementé (santé, finance), la phase 7 (Test intégration / UAT) est déterminante pour la conformité légale. Néanmoins, en gestion de projet logiciel généralisée, la phase 3 reste la plus déterminante car elle influence directement la qualité de toutes les phases suivantes.</w:t>
      </w:r>
    </w:p>
    <w:p/>
    <w:p>
      <w:pPr>
        <w:spacing w:before="40" w:after="160"/>
        <w:pBdr>
          <w:bottom w:val="single" w:sz="6" w:space="1" w:color="1F4E79"/>
        </w:pBdr>
      </w:pPr>
    </w:p>
    <w:p>
      <w:pPr>
        <w:spacing w:before="160" w:after="80"/>
      </w:pPr>
      <w:r>
        <w:rPr>
          <w:b/>
          <w:color w:val="1F4E79"/>
          <w:sz w:val="26"/>
        </w:rPr>
        <w:t>Conclusion</w:t>
      </w:r>
    </w:p>
    <w:p>
      <w:pPr>
        <w:spacing w:before="120" w:after="120"/>
        <w:ind w:left="216"/>
      </w:pPr>
      <w:r>
        <w:rPr>
          <w:sz w:val="22"/>
        </w:rPr>
        <w:t>Le découpage en 8 phases — Faisabilité, Lancement, Étude, Solutions, Réalisation, Test unitaire, Test intégration et Test performance — est bien plus qu'un cadre organisationnel : c'est un système de protection contre l'entropie naturelle des projets complexes. En imposant une progression jalonnée et validée, il transforme l'incertitude inhérente au développement logiciel en risques mesurables et gérables. Chaque phase a un rôle précis et non substituable : la faisabilité protège l'investissement, l'étude fixe le cap, la réalisation concrétise la vision, et les trois phases de test garantissent la qualité à des niveaux complémentaires.</w:t>
      </w:r>
    </w:p>
    <w:p>
      <w:pPr>
        <w:spacing w:before="80" w:after="80"/>
        <w:ind w:left="216"/>
      </w:pPr>
      <w:r>
        <w:rPr>
          <w:sz w:val="22"/>
        </w:rPr>
        <w:t>Le chef de projet qui maîtrise ce cadre ne livre pas seulement un produit fonctionnel — il pilote un processus de création de valeur reproductible, auditable et améliorable d'un projet à l'autre. C'est cette rigueur méthodologique qui distingue les projets réussis des projets qui, bien que techniquement ambitieux, échouent faute d'avoir respecté les fondamentaux.</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