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F7A1A"/>
          </w:tcPr>
          <w:p>
            <w:pPr>
              <w:spacing w:before="320" w:after="320"/>
              <w:jc w:val="center"/>
            </w:pPr>
            <w:r>
              <w:rPr>
                <w:rFonts w:ascii="Arial" w:hAnsi="Arial"/>
                <w:b/>
                <w:color w:val="FFFFFF"/>
                <w:sz w:val="44"/>
              </w:rPr>
              <w:t>GROUPE SUPERNOVA</w:t>
            </w:r>
          </w:p>
        </w:tc>
      </w:tr>
    </w:tbl>
    <w:p>
      <w:pPr>
        <w:spacing w:before="0" w:after="0"/>
      </w:pPr>
    </w:p>
    <w:p>
      <w:pPr>
        <w:jc w:val="center"/>
      </w:pPr>
      <w:r>
        <w:rPr>
          <w:rFonts w:ascii="Arial" w:hAnsi="Arial"/>
          <w:b/>
          <w:color w:val="1A1A2E"/>
          <w:sz w:val="28"/>
        </w:rPr>
        <w:t>Strategie d'incorporation et de protection de marque</w:t>
      </w:r>
    </w:p>
    <w:p>
      <w:pPr>
        <w:jc w:val="center"/>
      </w:pPr>
      <w:r>
        <w:rPr>
          <w:rFonts w:ascii="Arial" w:hAnsi="Arial"/>
          <w:i/>
          <w:color w:val="888888"/>
          <w:sz w:val="20"/>
        </w:rPr>
        <w:t>Document prepare pour consultation juridique — Mai 2026</w:t>
      </w:r>
    </w:p>
    <w:p>
      <w:pPr>
        <w:spacing w:before="0" w:after="0"/>
      </w:pPr>
    </w:p>
    <w:p>
      <w:pPr>
        <w:spacing w:before="360" w:after="80"/>
        <w:pBdr>
          <w:bottom w:val="single" w:sz="12" w:space="4" w:color="FF7A1A"/>
        </w:pBdr>
      </w:pPr>
      <w:r>
        <w:rPr>
          <w:rFonts w:ascii="Arial" w:hAnsi="Arial"/>
          <w:b/>
          <w:color w:val="FF7A1A"/>
          <w:sz w:val="28"/>
        </w:rPr>
        <w:t>1. Contexte et profil de l'entreprise</w:t>
      </w:r>
    </w:p>
    <w:p>
      <w:pPr>
        <w:spacing w:before="0" w:after="100"/>
      </w:pPr>
      <w:r>
        <w:rPr>
          <w:rFonts w:ascii="Arial" w:hAnsi="Arial"/>
          <w:color w:val="1A1A1A"/>
          <w:sz w:val="21"/>
        </w:rPr>
        <w:t>Groupe Supernova est une entreprise technologique en demarrage basee a Sainte-Marie-de-Beauce (Quebec), fondee par Jonathan Patoine. Elle regroupe deux divisions operationnelles et un studio creatif :</w:t>
      </w:r>
    </w:p>
    <w:p>
      <w:pPr>
        <w:pStyle w:val="ListBullet"/>
        <w:spacing w:after="60"/>
      </w:pPr>
      <w:r>
        <w:rPr>
          <w:rFonts w:ascii="Arial" w:hAnsi="Arial"/>
          <w:sz w:val="21"/>
        </w:rPr>
        <w:t>Division Web — developpement de sites web sur mesure pour PME et entrepreneurs de Chaudiere-Appalaches</w:t>
      </w:r>
    </w:p>
    <w:p>
      <w:pPr>
        <w:pStyle w:val="ListBullet"/>
        <w:spacing w:after="60"/>
      </w:pPr>
      <w:r>
        <w:rPr>
          <w:rFonts w:ascii="Arial" w:hAnsi="Arial"/>
          <w:sz w:val="21"/>
        </w:rPr>
        <w:t>Division Cybersecurite — services de securite informatique (en cours de structuration)</w:t>
      </w:r>
    </w:p>
    <w:p>
      <w:pPr>
        <w:pStyle w:val="ListBullet"/>
        <w:spacing w:after="60"/>
      </w:pPr>
      <w:r>
        <w:rPr>
          <w:rFonts w:ascii="Arial" w:hAnsi="Arial"/>
          <w:sz w:val="21"/>
        </w:rPr>
        <w:t>Studio Nordik Legion — studio de developpement de jeux video (nordiklegion.ca)</w:t>
      </w:r>
    </w:p>
    <w:p>
      <w:pPr>
        <w:spacing w:before="0" w:after="100"/>
      </w:pPr>
      <w:r>
        <w:rPr>
          <w:rFonts w:ascii="Arial" w:hAnsi="Arial"/>
          <w:color w:val="1A1A1A"/>
          <w:sz w:val="21"/>
        </w:rPr>
        <w:t>Le site officiel groupesupernova.ca est en production depuis mai 2026 (Next.js, trilingue FR/EN/ES, deploye sur Vercel). Le marche cible est les PME et entrepreneurs de Beauce, Bellechasse et Chaudiere-Appalaches, avec une expansion numerique pancanadienne prevue via des produits SaaS de cybersecurite et un canal de contenu YouTube.</w:t>
      </w:r>
    </w:p>
    <w:p>
      <w:pPr>
        <w:spacing w:before="0" w:after="0"/>
      </w:pPr>
    </w:p>
    <w:p>
      <w:pPr>
        <w:spacing w:before="360" w:after="80"/>
        <w:pBdr>
          <w:bottom w:val="single" w:sz="12" w:space="4" w:color="FF7A1A"/>
        </w:pBdr>
      </w:pPr>
      <w:r>
        <w:rPr>
          <w:rFonts w:ascii="Arial" w:hAnsi="Arial"/>
          <w:b/>
          <w:color w:val="FF7A1A"/>
          <w:sz w:val="28"/>
        </w:rPr>
        <w:t>2. Resultats des recherches de disponibilite du nom</w:t>
      </w:r>
    </w:p>
    <w:p>
      <w:pPr>
        <w:spacing w:before="200" w:after="40"/>
      </w:pPr>
      <w:r>
        <w:rPr>
          <w:rFonts w:ascii="Arial" w:hAnsi="Arial"/>
          <w:b/>
          <w:color w:val="1A1A2E"/>
          <w:sz w:val="22"/>
        </w:rPr>
        <w:t>2.1 Registre des entreprises du Quebec (REQ)</w:t>
      </w:r>
    </w:p>
    <w:p>
      <w:pPr>
        <w:spacing w:before="0" w:after="100"/>
      </w:pPr>
      <w:r>
        <w:rPr>
          <w:rFonts w:ascii="Arial" w:hAnsi="Arial"/>
          <w:color w:val="1A1A1A"/>
          <w:sz w:val="21"/>
        </w:rPr>
        <w:t>Aucun resultat pour 'Groupe Supernova' ou 'Supernova Group' au Quebec. Le nom est DISPONIBLE au niveau provincial.</w:t>
      </w:r>
    </w:p>
    <w:p>
      <w:pPr>
        <w:spacing w:before="200" w:after="40"/>
      </w:pPr>
      <w:r>
        <w:rPr>
          <w:rFonts w:ascii="Arial" w:hAnsi="Arial"/>
          <w:b/>
          <w:color w:val="1A1A2E"/>
          <w:sz w:val="22"/>
        </w:rPr>
        <w:t>2.2 Office de la propriete intellectuelle du Canada (OPIC)</w:t>
      </w:r>
    </w:p>
    <w:p>
      <w:pPr>
        <w:spacing w:before="0" w:after="100"/>
      </w:pPr>
      <w:r>
        <w:rPr>
          <w:rFonts w:ascii="Arial" w:hAnsi="Arial"/>
          <w:color w:val="1A1A1A"/>
          <w:sz w:val="21"/>
        </w:rPr>
        <w:t>Aucune marque de commerce enregistree sous 'Groupe Supernova' ou 'Supernova Group' au Canada. Le nom est DISPONIBLE a titre de marque nationale.</w:t>
      </w:r>
    </w:p>
    <w:p>
      <w:pPr>
        <w:spacing w:before="200" w:after="40"/>
      </w:pPr>
      <w:r>
        <w:rPr>
          <w:rFonts w:ascii="Arial" w:hAnsi="Arial"/>
          <w:b/>
          <w:color w:val="1A1A2E"/>
          <w:sz w:val="22"/>
        </w:rPr>
        <w:t>2.3 Entites similaires repertoriees (autres provinces) — evaluation du risque</w:t>
      </w:r>
    </w:p>
    <w:tbl>
      <w:tblPr>
        <w:tblStyle w:val="TableGrid"/>
        <w:tblW w:type="auto" w:w="0"/>
        <w:tblLook w:firstColumn="1" w:firstRow="1" w:lastColumn="0" w:lastRow="0" w:noHBand="0" w:noVBand="1" w:val="04A0"/>
      </w:tblPr>
      <w:tblGrid>
        <w:gridCol w:w="3168"/>
        <w:gridCol w:w="3600"/>
        <w:gridCol w:w="4032"/>
      </w:tblGrid>
      <w:tr>
        <w:tc>
          <w:tcPr>
            <w:tcW w:type="dxa" w:w="3135"/>
            <w:shd w:val="clear" w:color="auto" w:fill="1A1A2E"/>
          </w:tcPr>
          <w:p>
            <w:r>
              <w:rPr>
                <w:rFonts w:ascii="Arial" w:hAnsi="Arial"/>
                <w:b/>
                <w:color w:val="FFFFFF"/>
                <w:sz w:val="20"/>
              </w:rPr>
              <w:t>Entite</w:t>
            </w:r>
          </w:p>
        </w:tc>
        <w:tc>
          <w:tcPr>
            <w:tcW w:type="dxa" w:w="3135"/>
            <w:shd w:val="clear" w:color="auto" w:fill="1A1A2E"/>
          </w:tcPr>
          <w:p>
            <w:r>
              <w:rPr>
                <w:rFonts w:ascii="Arial" w:hAnsi="Arial"/>
                <w:b/>
                <w:color w:val="FFFFFF"/>
                <w:sz w:val="20"/>
              </w:rPr>
              <w:t>Secteur</w:t>
            </w:r>
          </w:p>
        </w:tc>
        <w:tc>
          <w:tcPr>
            <w:tcW w:type="dxa" w:w="3135"/>
            <w:shd w:val="clear" w:color="auto" w:fill="1A1A2E"/>
          </w:tcPr>
          <w:p>
            <w:r>
              <w:rPr>
                <w:rFonts w:ascii="Arial" w:hAnsi="Arial"/>
                <w:b/>
                <w:color w:val="FFFFFF"/>
                <w:sz w:val="20"/>
              </w:rPr>
              <w:t>Evaluation du risque</w:t>
            </w:r>
          </w:p>
        </w:tc>
      </w:tr>
      <w:tr>
        <w:tc>
          <w:tcPr>
            <w:tcW w:type="dxa" w:w="3135"/>
            <w:shd w:val="clear" w:color="auto" w:fill="FFFFFF"/>
          </w:tcPr>
          <w:p>
            <w:r>
              <w:rPr>
                <w:rFonts w:ascii="Arial" w:hAnsi="Arial"/>
                <w:sz w:val="19"/>
              </w:rPr>
              <w:t>Supernova Group Inc. (Milton, ON)</w:t>
            </w:r>
          </w:p>
        </w:tc>
        <w:tc>
          <w:tcPr>
            <w:tcW w:type="dxa" w:w="3135"/>
            <w:shd w:val="clear" w:color="auto" w:fill="FFFFFF"/>
          </w:tcPr>
          <w:p>
            <w:r>
              <w:rPr>
                <w:rFonts w:ascii="Arial" w:hAnsi="Arial"/>
                <w:sz w:val="19"/>
              </w:rPr>
              <w:t>IA / recrutement technologique</w:t>
            </w:r>
          </w:p>
        </w:tc>
        <w:tc>
          <w:tcPr>
            <w:tcW w:type="dxa" w:w="3135"/>
            <w:shd w:val="clear" w:color="auto" w:fill="FFFFFF"/>
          </w:tcPr>
          <w:p>
            <w:r>
              <w:rPr>
                <w:rFonts w:ascii="Arial" w:hAnsi="Arial"/>
                <w:sz w:val="19"/>
              </w:rPr>
              <w:t>Faible — secteur different, Ontario</w:t>
            </w:r>
          </w:p>
        </w:tc>
      </w:tr>
      <w:tr>
        <w:tc>
          <w:tcPr>
            <w:tcW w:type="dxa" w:w="3135"/>
            <w:shd w:val="clear" w:color="auto" w:fill="F5F5F5"/>
          </w:tcPr>
          <w:p>
            <w:r>
              <w:rPr>
                <w:rFonts w:ascii="Arial" w:hAnsi="Arial"/>
                <w:sz w:val="19"/>
              </w:rPr>
              <w:t>Supernova Entertainment Group (Toronto)</w:t>
            </w:r>
          </w:p>
        </w:tc>
        <w:tc>
          <w:tcPr>
            <w:tcW w:type="dxa" w:w="3135"/>
            <w:shd w:val="clear" w:color="auto" w:fill="F5F5F5"/>
          </w:tcPr>
          <w:p>
            <w:r>
              <w:rPr>
                <w:rFonts w:ascii="Arial" w:hAnsi="Arial"/>
                <w:sz w:val="19"/>
              </w:rPr>
              <w:t>Divertissement / vie nocturne</w:t>
            </w:r>
          </w:p>
        </w:tc>
        <w:tc>
          <w:tcPr>
            <w:tcW w:type="dxa" w:w="3135"/>
            <w:shd w:val="clear" w:color="auto" w:fill="F5F5F5"/>
          </w:tcPr>
          <w:p>
            <w:r>
              <w:rPr>
                <w:rFonts w:ascii="Arial" w:hAnsi="Arial"/>
                <w:sz w:val="19"/>
              </w:rPr>
              <w:t>Nul — secteur totalement different</w:t>
            </w:r>
          </w:p>
        </w:tc>
      </w:tr>
      <w:tr>
        <w:tc>
          <w:tcPr>
            <w:tcW w:type="dxa" w:w="3135"/>
            <w:shd w:val="clear" w:color="auto" w:fill="FFFFFF"/>
          </w:tcPr>
          <w:p>
            <w:r>
              <w:rPr>
                <w:rFonts w:ascii="Arial" w:hAnsi="Arial"/>
                <w:sz w:val="19"/>
              </w:rPr>
              <w:t>Supernova Sites / Media (Toronto)</w:t>
            </w:r>
          </w:p>
        </w:tc>
        <w:tc>
          <w:tcPr>
            <w:tcW w:type="dxa" w:w="3135"/>
            <w:shd w:val="clear" w:color="auto" w:fill="FFFFFF"/>
          </w:tcPr>
          <w:p>
            <w:r>
              <w:rPr>
                <w:rFonts w:ascii="Arial" w:hAnsi="Arial"/>
                <w:sz w:val="19"/>
              </w:rPr>
              <w:t>Sites web pour therapeutes</w:t>
            </w:r>
          </w:p>
        </w:tc>
        <w:tc>
          <w:tcPr>
            <w:tcW w:type="dxa" w:w="3135"/>
            <w:shd w:val="clear" w:color="auto" w:fill="FFFFFF"/>
          </w:tcPr>
          <w:p>
            <w:r>
              <w:rPr>
                <w:rFonts w:ascii="Arial" w:hAnsi="Arial"/>
                <w:sz w:val="19"/>
              </w:rPr>
              <w:t>Tres faible — niche distincte</w:t>
            </w:r>
          </w:p>
        </w:tc>
      </w:tr>
    </w:tbl>
    <w:p>
      <w:pPr>
        <w:spacing w:before="0" w:after="0"/>
      </w:pPr>
    </w:p>
    <w:p>
      <w:pPr>
        <w:spacing w:before="0" w:after="100"/>
      </w:pPr>
      <w:r>
        <w:rPr>
          <w:rFonts w:ascii="Arial" w:hAnsi="Arial"/>
          <w:color w:val="1A1A1A"/>
          <w:sz w:val="21"/>
        </w:rPr>
        <w:t>Conclusion : 'Groupe Supernova Inc.' est suffisamment distinct — nom en francais, secteur technologique local, marche geographique different de toutes les entites trouvees.</w:t>
      </w:r>
    </w:p>
    <w:p>
      <w:pPr>
        <w:spacing w:before="0" w:after="0"/>
      </w:pPr>
    </w:p>
    <w:p>
      <w:pPr>
        <w:spacing w:before="360" w:after="80"/>
        <w:pBdr>
          <w:bottom w:val="single" w:sz="12" w:space="4" w:color="FF7A1A"/>
        </w:pBdr>
      </w:pPr>
      <w:r>
        <w:rPr>
          <w:rFonts w:ascii="Arial" w:hAnsi="Arial"/>
          <w:b/>
          <w:color w:val="FF7A1A"/>
          <w:sz w:val="28"/>
        </w:rPr>
        <w:t>3. Strategie recommandee — etapes chronologiques</w:t>
      </w:r>
    </w:p>
    <w:p>
      <w:pPr>
        <w:spacing w:before="0" w:after="100"/>
      </w:pPr>
      <w:r>
        <w:rPr>
          <w:rFonts w:ascii="Arial" w:hAnsi="Arial"/>
          <w:color w:val="1A1A1A"/>
          <w:sz w:val="21"/>
        </w:rPr>
        <w:t>La strategie se deroule en quatre etapes sequentielles. Chaque etape est conditionnelle aux resultats de la precedente, ce qui limite le risque financier a chaque palier.</w:t>
      </w:r>
    </w:p>
    <w:p>
      <w:pPr>
        <w:spacing w:before="0" w:after="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F7A1A"/>
          </w:tcPr>
          <w:p>
            <w:pPr>
              <w:spacing w:before="140" w:after="140"/>
            </w:pPr>
            <w:r>
              <w:rPr>
                <w:rFonts w:ascii="Arial" w:hAnsi="Arial"/>
                <w:b/>
                <w:color w:val="FFFFFF"/>
                <w:sz w:val="22"/>
              </w:rPr>
              <w:t>ETAPE 1 — Rapport NUANS  |  Ce soir  |  ~30 $ a 75 $</w:t>
            </w:r>
          </w:p>
        </w:tc>
      </w:tr>
    </w:tbl>
    <w:p>
      <w:pPr>
        <w:spacing w:before="0" w:after="0"/>
      </w:pPr>
    </w:p>
    <w:p>
      <w:pPr>
        <w:spacing w:before="0" w:after="100"/>
      </w:pPr>
      <w:r>
        <w:rPr>
          <w:rFonts w:ascii="Arial" w:hAnsi="Arial"/>
          <w:color w:val="1A1A1A"/>
          <w:sz w:val="21"/>
        </w:rPr>
        <w:t>Le rapport NUANS (Newly Upgraded Automated Name Search) est une recherche officielle dans la base de donnees federale qui recense toutes les denominations sociales d'entreprises canadiennes. C'est l'outil de reference utilise par Corporations Canada.</w:t>
      </w:r>
    </w:p>
    <w:p>
      <w:pPr>
        <w:pStyle w:val="ListBullet"/>
        <w:spacing w:after="60"/>
      </w:pPr>
      <w:r>
        <w:rPr>
          <w:rFonts w:ascii="Arial" w:hAnsi="Arial"/>
          <w:sz w:val="21"/>
        </w:rPr>
        <w:t>Portail : nuans.com ou via un depositaire autorise</w:t>
      </w:r>
    </w:p>
    <w:p>
      <w:pPr>
        <w:pStyle w:val="ListBullet"/>
        <w:spacing w:after="60"/>
      </w:pPr>
      <w:r>
        <w:rPr>
          <w:rFonts w:ascii="Arial" w:hAnsi="Arial"/>
          <w:sz w:val="21"/>
        </w:rPr>
        <w:t>Delai : instantane (rapport genere en ligne)</w:t>
      </w:r>
    </w:p>
    <w:p>
      <w:pPr>
        <w:pStyle w:val="ListBullet"/>
        <w:spacing w:after="60"/>
      </w:pPr>
      <w:r>
        <w:rPr>
          <w:rFonts w:ascii="Arial" w:hAnsi="Arial"/>
          <w:sz w:val="21"/>
        </w:rPr>
        <w:t>Cout : ~30 $ (rapport preliminaire) ou ~75 $ (rapport officiel complet, valide 90 jours)</w:t>
      </w:r>
    </w:p>
    <w:p>
      <w:pPr>
        <w:spacing w:before="0" w:after="100"/>
      </w:pPr>
      <w:r>
        <w:rPr>
          <w:rFonts w:ascii="Arial" w:hAnsi="Arial"/>
          <w:color w:val="1A1A1A"/>
          <w:sz w:val="21"/>
        </w:rPr>
        <w:t>Pourquoi en premier : confirme la disponibilite du nom au federal AVANT de depenser des centaines de dollars en marque ou incorporation. Si le nom etait pris, toute la strategie serait revisee sans perte.</w:t>
      </w:r>
    </w:p>
    <w:p>
      <w:pPr>
        <w:spacing w:before="0" w:after="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1A2E"/>
          </w:tcPr>
          <w:p>
            <w:pPr>
              <w:spacing w:before="140" w:after="140"/>
            </w:pPr>
            <w:r>
              <w:rPr>
                <w:rFonts w:ascii="Arial" w:hAnsi="Arial"/>
                <w:b/>
                <w:color w:val="FFD65C"/>
                <w:sz w:val="22"/>
              </w:rPr>
              <w:t>ETAPE 2 — Depot de marque OPIC  |  Des NUANS confirme  |  ~916 $</w:t>
            </w:r>
          </w:p>
        </w:tc>
      </w:tr>
    </w:tbl>
    <w:p>
      <w:pPr>
        <w:spacing w:before="0" w:after="0"/>
      </w:pPr>
    </w:p>
    <w:p>
      <w:pPr>
        <w:spacing w:before="0" w:after="100"/>
      </w:pPr>
      <w:r>
        <w:rPr>
          <w:rFonts w:ascii="Arial" w:hAnsi="Arial"/>
          <w:color w:val="1A1A1A"/>
          <w:sz w:val="21"/>
        </w:rPr>
        <w:t>Depot d'une demande de marque verbale 'Groupe Supernova' aupres de l'OPIC dans deux classes Nice :</w:t>
      </w:r>
    </w:p>
    <w:tbl>
      <w:tblPr>
        <w:tblStyle w:val="TableGrid"/>
        <w:tblW w:type="auto" w:w="0"/>
        <w:tblLook w:firstColumn="1" w:firstRow="1" w:lastColumn="0" w:lastRow="0" w:noHBand="0" w:noVBand="1" w:val="04A0"/>
      </w:tblPr>
      <w:tblGrid>
        <w:gridCol w:w="1584"/>
        <w:gridCol w:w="3312"/>
        <w:gridCol w:w="5904"/>
      </w:tblGrid>
      <w:tr>
        <w:tc>
          <w:tcPr>
            <w:tcW w:type="dxa" w:w="3135"/>
            <w:shd w:val="clear" w:color="auto" w:fill="1A1A2E"/>
          </w:tcPr>
          <w:p>
            <w:r>
              <w:rPr>
                <w:rFonts w:ascii="Arial" w:hAnsi="Arial"/>
                <w:b/>
                <w:color w:val="FFFFFF"/>
                <w:sz w:val="20"/>
              </w:rPr>
              <w:t>Classe</w:t>
            </w:r>
          </w:p>
        </w:tc>
        <w:tc>
          <w:tcPr>
            <w:tcW w:type="dxa" w:w="3135"/>
            <w:shd w:val="clear" w:color="auto" w:fill="1A1A2E"/>
          </w:tcPr>
          <w:p>
            <w:r>
              <w:rPr>
                <w:rFonts w:ascii="Arial" w:hAnsi="Arial"/>
                <w:b/>
                <w:color w:val="FFFFFF"/>
                <w:sz w:val="20"/>
              </w:rPr>
              <w:t>Domaine</w:t>
            </w:r>
          </w:p>
        </w:tc>
        <w:tc>
          <w:tcPr>
            <w:tcW w:type="dxa" w:w="3135"/>
            <w:shd w:val="clear" w:color="auto" w:fill="1A1A2E"/>
          </w:tcPr>
          <w:p>
            <w:r>
              <w:rPr>
                <w:rFonts w:ascii="Arial" w:hAnsi="Arial"/>
                <w:b/>
                <w:color w:val="FFFFFF"/>
                <w:sz w:val="20"/>
              </w:rPr>
              <w:t>Services couverts</w:t>
            </w:r>
          </w:p>
        </w:tc>
      </w:tr>
      <w:tr>
        <w:tc>
          <w:tcPr>
            <w:tcW w:type="dxa" w:w="3135"/>
            <w:shd w:val="clear" w:color="auto" w:fill="FFF3E8"/>
          </w:tcPr>
          <w:p>
            <w:r>
              <w:rPr>
                <w:rFonts w:ascii="Arial" w:hAnsi="Arial"/>
                <w:b/>
                <w:color w:val="FF7A1A"/>
                <w:sz w:val="19"/>
              </w:rPr>
              <w:t>Classe 42</w:t>
            </w:r>
          </w:p>
        </w:tc>
        <w:tc>
          <w:tcPr>
            <w:tcW w:type="dxa" w:w="3135"/>
          </w:tcPr>
          <w:p>
            <w:r>
              <w:rPr>
                <w:rFonts w:ascii="Arial" w:hAnsi="Arial"/>
                <w:sz w:val="19"/>
              </w:rPr>
              <w:t>Services technologiques</w:t>
            </w:r>
          </w:p>
        </w:tc>
        <w:tc>
          <w:tcPr>
            <w:tcW w:type="dxa" w:w="3135"/>
          </w:tcPr>
          <w:p>
            <w:r>
              <w:rPr>
                <w:rFonts w:ascii="Arial" w:hAnsi="Arial"/>
                <w:sz w:val="19"/>
              </w:rPr>
              <w:t>Developpement de logiciels, SaaS, cybersecurite, conception de sites web, services informatiques, hebergement web</w:t>
            </w:r>
          </w:p>
        </w:tc>
      </w:tr>
      <w:tr>
        <w:tc>
          <w:tcPr>
            <w:tcW w:type="dxa" w:w="3135"/>
            <w:shd w:val="clear" w:color="auto" w:fill="FFF3E8"/>
          </w:tcPr>
          <w:p>
            <w:r>
              <w:rPr>
                <w:rFonts w:ascii="Arial" w:hAnsi="Arial"/>
                <w:b/>
                <w:color w:val="FF7A1A"/>
                <w:sz w:val="19"/>
              </w:rPr>
              <w:t>Classe 35</w:t>
            </w:r>
          </w:p>
        </w:tc>
        <w:tc>
          <w:tcPr>
            <w:tcW w:type="dxa" w:w="3135"/>
          </w:tcPr>
          <w:p>
            <w:r>
              <w:rPr>
                <w:rFonts w:ascii="Arial" w:hAnsi="Arial"/>
                <w:sz w:val="19"/>
              </w:rPr>
              <w:t>Services aux entreprises</w:t>
            </w:r>
          </w:p>
        </w:tc>
        <w:tc>
          <w:tcPr>
            <w:tcW w:type="dxa" w:w="3135"/>
          </w:tcPr>
          <w:p>
            <w:r>
              <w:rPr>
                <w:rFonts w:ascii="Arial" w:hAnsi="Arial"/>
                <w:sz w:val="19"/>
              </w:rPr>
              <w:t>Agence de marketing, publicite, gestion de reseaux sociaux, consulting en affaires, production de contenu numerique</w:t>
            </w:r>
          </w:p>
        </w:tc>
      </w:tr>
    </w:tbl>
    <w:p>
      <w:pPr>
        <w:spacing w:before="0" w:after="0"/>
      </w:pPr>
    </w:p>
    <w:p>
      <w:pPr>
        <w:spacing w:before="0" w:after="100"/>
      </w:pPr>
      <w:r>
        <w:rPr>
          <w:rFonts w:ascii="Arial" w:hAnsi="Arial"/>
          <w:color w:val="1A1A1A"/>
          <w:sz w:val="21"/>
        </w:rPr>
        <w:t>Cout : 458 $ par classe x 2 classes = 916 $ en ligne via le portail OPIC. Honoraires d'un agent en marques si requis : +300 $ a 600 $ supplementaires.</w:t>
      </w:r>
    </w:p>
    <w:p>
      <w:pPr>
        <w:spacing w:before="0" w:after="100"/>
      </w:pPr>
      <w:r>
        <w:rPr>
          <w:rFonts w:ascii="Arial" w:hAnsi="Arial"/>
          <w:color w:val="1A1A1A"/>
          <w:sz w:val="21"/>
        </w:rPr>
        <w:t>Pourquoi la marque verbale seulement : protege le NOM independamment de toute fonte, couleur ou graphisme — protection la plus large et la plus durable.</w:t>
      </w:r>
    </w:p>
    <w:p>
      <w:pPr>
        <w:spacing w:before="0" w:after="100"/>
      </w:pPr>
      <w:r>
        <w:rPr>
          <w:rFonts w:ascii="Arial" w:hAnsi="Arial"/>
          <w:color w:val="1A1A1A"/>
          <w:sz w:val="21"/>
        </w:rPr>
        <w:t>Effet immediat : utilisation du symbole TM des le depot. Le symbole R (enregistree) uniquement apres enregistrement officiel (12 a 18 mois).</w:t>
      </w:r>
    </w:p>
    <w:p>
      <w:pPr>
        <w:spacing w:before="0" w:after="100"/>
      </w:pPr>
      <w:r>
        <w:rPr>
          <w:rFonts w:ascii="Arial" w:hAnsi="Arial"/>
          <w:color w:val="1A1A1A"/>
          <w:sz w:val="21"/>
        </w:rPr>
        <w:t>Pourquoi AVANT l'incorporation : la date de depot OPIC cree une PRIORITE legale nationale. Quiconque tente d'enregistrer un nom similaire apres votre date de depot perd face a votre priorite — meme si votre incorporation n'est pas encore finalisee.</w:t>
      </w:r>
    </w:p>
    <w:p>
      <w:pPr>
        <w:spacing w:before="0" w:after="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F7A1A"/>
          </w:tcPr>
          <w:p>
            <w:pPr>
              <w:spacing w:before="140" w:after="140"/>
            </w:pPr>
            <w:r>
              <w:rPr>
                <w:rFonts w:ascii="Arial" w:hAnsi="Arial"/>
                <w:b/>
                <w:color w:val="FFFFFF"/>
                <w:sz w:val="22"/>
              </w:rPr>
              <w:t>ETAPE 3 — Incorporation provinciale (REQ — Societe par actions)  |  Semaines suivantes  |  385 $ a 800 $</w:t>
            </w:r>
          </w:p>
        </w:tc>
      </w:tr>
    </w:tbl>
    <w:p>
      <w:pPr>
        <w:spacing w:before="0" w:after="0"/>
      </w:pPr>
    </w:p>
    <w:p>
      <w:pPr>
        <w:spacing w:before="0" w:after="100"/>
      </w:pPr>
      <w:r>
        <w:rPr>
          <w:rFonts w:ascii="Arial" w:hAnsi="Arial"/>
          <w:color w:val="1A1A1A"/>
          <w:sz w:val="21"/>
        </w:rPr>
        <w:t>Constitution d'une Societe par actions (SPA) au Quebec via le portail en ligne du Registraire des entreprises du Quebec (REQ).</w:t>
      </w:r>
    </w:p>
    <w:p>
      <w:pPr>
        <w:spacing w:before="0" w:after="100"/>
      </w:pPr>
      <w:r>
        <w:rPr>
          <w:rFonts w:ascii="Arial" w:hAnsi="Arial"/>
          <w:color w:val="1A1A1A"/>
          <w:sz w:val="21"/>
        </w:rPr>
        <w:t>Pourquoi la SPA plutot que l'entreprise individuelle :</w:t>
      </w:r>
    </w:p>
    <w:p>
      <w:pPr>
        <w:pStyle w:val="ListBullet"/>
        <w:spacing w:after="60"/>
      </w:pPr>
      <w:r>
        <w:rPr>
          <w:rFonts w:ascii="Arial" w:hAnsi="Arial"/>
          <w:sz w:val="21"/>
        </w:rPr>
        <w:t>Responsabilite limitee : les dettes de la societe ne touchent pas vos actifs personnels</w:t>
      </w:r>
    </w:p>
    <w:p>
      <w:pPr>
        <w:pStyle w:val="ListBullet"/>
        <w:spacing w:after="60"/>
      </w:pPr>
      <w:r>
        <w:rPr>
          <w:rFonts w:ascii="Arial" w:hAnsi="Arial"/>
          <w:sz w:val="21"/>
        </w:rPr>
        <w:t>Optimisation fiscale : dividendes vs salaire, taux d'imposition plus favorable</w:t>
      </w:r>
    </w:p>
    <w:p>
      <w:pPr>
        <w:pStyle w:val="ListBullet"/>
        <w:spacing w:after="60"/>
      </w:pPr>
      <w:r>
        <w:rPr>
          <w:rFonts w:ascii="Arial" w:hAnsi="Arial"/>
          <w:sz w:val="21"/>
        </w:rPr>
        <w:t>Deduction pour petite entreprise (DPE) : taux preferentiel sur les premiers 500 000 $ de revenus actifs</w:t>
      </w:r>
    </w:p>
    <w:p>
      <w:pPr>
        <w:pStyle w:val="ListBullet"/>
        <w:spacing w:after="60"/>
      </w:pPr>
      <w:r>
        <w:rPr>
          <w:rFonts w:ascii="Arial" w:hAnsi="Arial"/>
          <w:sz w:val="21"/>
        </w:rPr>
        <w:t>Accueil de partenaires futurs via emission d'actions (Alexandra, Paulina, Gabriel)</w:t>
      </w:r>
    </w:p>
    <w:p>
      <w:pPr>
        <w:pStyle w:val="ListBullet"/>
        <w:spacing w:after="60"/>
      </w:pPr>
      <w:r>
        <w:rPr>
          <w:rFonts w:ascii="Arial" w:hAnsi="Arial"/>
          <w:sz w:val="21"/>
        </w:rPr>
        <w:t>Credibilite aupres des banques, clients corporatifs et organismes gouvernementaux</w:t>
      </w:r>
    </w:p>
    <w:p>
      <w:pPr>
        <w:spacing w:before="0" w:after="100"/>
      </w:pPr>
      <w:r>
        <w:rPr>
          <w:rFonts w:ascii="Arial" w:hAnsi="Arial"/>
          <w:color w:val="1A1A1A"/>
          <w:sz w:val="21"/>
        </w:rPr>
        <w:t>Ce que l'incorporation provinciale ouvre immediatement :</w:t>
      </w:r>
    </w:p>
    <w:p>
      <w:pPr>
        <w:pStyle w:val="ListBullet"/>
        <w:spacing w:after="60"/>
      </w:pPr>
      <w:r>
        <w:rPr>
          <w:rFonts w:ascii="Arial" w:hAnsi="Arial"/>
          <w:sz w:val="21"/>
        </w:rPr>
        <w:t>NEQ (Numero d'entreprise du Quebec) — requis pour soumissions et contrats gouvernementaux</w:t>
      </w:r>
    </w:p>
    <w:p>
      <w:pPr>
        <w:pStyle w:val="ListBullet"/>
        <w:spacing w:after="60"/>
      </w:pPr>
      <w:r>
        <w:rPr>
          <w:rFonts w:ascii="Arial" w:hAnsi="Arial"/>
          <w:sz w:val="21"/>
        </w:rPr>
        <w:t>Compte bancaire au nom de l'entreprise</w:t>
      </w:r>
    </w:p>
    <w:p>
      <w:pPr>
        <w:pStyle w:val="ListBullet"/>
        <w:spacing w:after="60"/>
      </w:pPr>
      <w:r>
        <w:rPr>
          <w:rFonts w:ascii="Arial" w:hAnsi="Arial"/>
          <w:sz w:val="21"/>
        </w:rPr>
        <w:t>Inscription TPS/TVQ sous le nom de la societe</w:t>
      </w:r>
    </w:p>
    <w:p>
      <w:pPr>
        <w:pStyle w:val="ListBullet"/>
        <w:spacing w:after="60"/>
      </w:pPr>
      <w:r>
        <w:rPr>
          <w:rFonts w:ascii="Arial" w:hAnsi="Arial"/>
          <w:sz w:val="21"/>
        </w:rPr>
        <w:t>Debut de l'historique de credit de la societe</w:t>
      </w:r>
    </w:p>
    <w:p>
      <w:pPr>
        <w:spacing w:before="0" w:after="100"/>
      </w:pPr>
      <w:r>
        <w:rPr>
          <w:rFonts w:ascii="Arial" w:hAnsi="Arial"/>
          <w:color w:val="1A1A1A"/>
          <w:sz w:val="21"/>
        </w:rPr>
        <w:t>Cout : ~385 $ en ligne sur le portail REQ (autonome). Si redige par avocate ou notaire : ajouter 500 $ a 1 500 $ pour statuts et livre des minutes. Declaration annuelle ~100 $/an.</w:t>
      </w:r>
    </w:p>
    <w:p>
      <w:pPr>
        <w:spacing w:before="0" w:after="0"/>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444466"/>
          </w:tcPr>
          <w:p>
            <w:pPr>
              <w:spacing w:before="140" w:after="140"/>
            </w:pPr>
            <w:r>
              <w:rPr>
                <w:rFonts w:ascii="Arial" w:hAnsi="Arial"/>
                <w:b/>
                <w:color w:val="FFFFFF"/>
                <w:sz w:val="22"/>
              </w:rPr>
              <w:t>ETAPE 4 — Continuation federale (Corporations Canada)  |  Phase 2 / lancement SaaS  |  ~200 $ + honoraires</w:t>
            </w:r>
          </w:p>
        </w:tc>
      </w:tr>
    </w:tbl>
    <w:p>
      <w:pPr>
        <w:spacing w:before="0" w:after="0"/>
      </w:pPr>
    </w:p>
    <w:p>
      <w:pPr>
        <w:spacing w:before="0" w:after="100"/>
      </w:pPr>
      <w:r>
        <w:rPr>
          <w:rFonts w:ascii="Arial" w:hAnsi="Arial"/>
          <w:color w:val="1A1A1A"/>
          <w:sz w:val="21"/>
        </w:rPr>
        <w:t>Lorsque les produits SaaS seront commercialises hors Quebec, une continuation federale permettra a la societe quebecoise de continuer sous regime federal sans dissolution ni nouvelle creation.</w:t>
      </w:r>
    </w:p>
    <w:p>
      <w:pPr>
        <w:pStyle w:val="ListBullet"/>
        <w:spacing w:after="60"/>
      </w:pPr>
      <w:r>
        <w:rPr>
          <w:rFonts w:ascii="Arial" w:hAnsi="Arial"/>
          <w:sz w:val="21"/>
        </w:rPr>
        <w:t>Protection pan-canadienne du nom de societe (complementaire a la marque OPIC)</w:t>
      </w:r>
    </w:p>
    <w:p>
      <w:pPr>
        <w:pStyle w:val="ListBullet"/>
        <w:spacing w:after="60"/>
      </w:pPr>
      <w:r>
        <w:rPr>
          <w:rFonts w:ascii="Arial" w:hAnsi="Arial"/>
          <w:sz w:val="21"/>
        </w:rPr>
        <w:t>Obligation additionnelle : immatriculation au REQ dans les 60 jours si siege social au Quebec (~367 $)</w:t>
      </w:r>
    </w:p>
    <w:p>
      <w:pPr>
        <w:pStyle w:val="ListBullet"/>
        <w:spacing w:after="60"/>
      </w:pPr>
      <w:r>
        <w:rPr>
          <w:rFonts w:ascii="Arial" w:hAnsi="Arial"/>
          <w:sz w:val="21"/>
        </w:rPr>
        <w:t>Double production fiscale : T2 federal + CO-17 provincial</w:t>
      </w:r>
    </w:p>
    <w:p>
      <w:pPr>
        <w:spacing w:before="0" w:after="100"/>
      </w:pPr>
      <w:r>
        <w:rPr>
          <w:rFonts w:ascii="Arial" w:hAnsi="Arial"/>
          <w:color w:val="1A1A1A"/>
          <w:sz w:val="21"/>
        </w:rPr>
        <w:t>Cette etape n'est pas urgente aujourd'hui — elle sera pertinente au moment de la commercialisation nationale.</w:t>
      </w:r>
    </w:p>
    <w:p>
      <w:pPr>
        <w:spacing w:before="0" w:after="0"/>
      </w:pPr>
    </w:p>
    <w:p>
      <w:pPr>
        <w:spacing w:before="360" w:after="80"/>
        <w:pBdr>
          <w:bottom w:val="single" w:sz="12" w:space="4" w:color="FF7A1A"/>
        </w:pBdr>
      </w:pPr>
      <w:r>
        <w:rPr>
          <w:rFonts w:ascii="Arial" w:hAnsi="Arial"/>
          <w:b/>
          <w:color w:val="FF7A1A"/>
          <w:sz w:val="28"/>
        </w:rPr>
        <w:t>4. Resume des couts</w:t>
      </w:r>
    </w:p>
    <w:tbl>
      <w:tblPr>
        <w:tblStyle w:val="TableGrid"/>
        <w:tblW w:type="auto" w:w="0"/>
        <w:tblLook w:firstColumn="1" w:firstRow="1" w:lastColumn="0" w:lastRow="0" w:noHBand="0" w:noVBand="1" w:val="04A0"/>
      </w:tblPr>
      <w:tblGrid>
        <w:gridCol w:w="648"/>
        <w:gridCol w:w="4176"/>
        <w:gridCol w:w="2664"/>
        <w:gridCol w:w="3312"/>
      </w:tblGrid>
      <w:tr>
        <w:tc>
          <w:tcPr>
            <w:tcW w:type="dxa" w:w="2351"/>
            <w:shd w:val="clear" w:color="auto" w:fill="1A1A2E"/>
          </w:tcPr>
          <w:p>
            <w:r>
              <w:rPr>
                <w:rFonts w:ascii="Arial" w:hAnsi="Arial"/>
                <w:b/>
                <w:color w:val="FFFFFF"/>
                <w:sz w:val="20"/>
              </w:rPr>
              <w:t>Etape</w:t>
            </w:r>
          </w:p>
        </w:tc>
        <w:tc>
          <w:tcPr>
            <w:tcW w:type="dxa" w:w="2351"/>
            <w:shd w:val="clear" w:color="auto" w:fill="1A1A2E"/>
          </w:tcPr>
          <w:p>
            <w:r>
              <w:rPr>
                <w:rFonts w:ascii="Arial" w:hAnsi="Arial"/>
                <w:b/>
                <w:color w:val="FFFFFF"/>
                <w:sz w:val="20"/>
              </w:rPr>
              <w:t>Demarche</w:t>
            </w:r>
          </w:p>
        </w:tc>
        <w:tc>
          <w:tcPr>
            <w:tcW w:type="dxa" w:w="2351"/>
            <w:shd w:val="clear" w:color="auto" w:fill="1A1A2E"/>
          </w:tcPr>
          <w:p>
            <w:r>
              <w:rPr>
                <w:rFonts w:ascii="Arial" w:hAnsi="Arial"/>
                <w:b/>
                <w:color w:val="FFFFFF"/>
                <w:sz w:val="20"/>
              </w:rPr>
              <w:t>Cout estime</w:t>
            </w:r>
          </w:p>
        </w:tc>
        <w:tc>
          <w:tcPr>
            <w:tcW w:type="dxa" w:w="2351"/>
            <w:shd w:val="clear" w:color="auto" w:fill="1A1A2E"/>
          </w:tcPr>
          <w:p>
            <w:r>
              <w:rPr>
                <w:rFonts w:ascii="Arial" w:hAnsi="Arial"/>
                <w:b/>
                <w:color w:val="FFFFFF"/>
                <w:sz w:val="20"/>
              </w:rPr>
              <w:t>Timing</w:t>
            </w:r>
          </w:p>
        </w:tc>
      </w:tr>
      <w:tr>
        <w:tc>
          <w:tcPr>
            <w:tcW w:type="dxa" w:w="2351"/>
            <w:shd w:val="clear" w:color="auto" w:fill="FFFFFF"/>
          </w:tcPr>
          <w:p>
            <w:r>
              <w:rPr>
                <w:rFonts w:ascii="Arial" w:hAnsi="Arial"/>
                <w:sz w:val="19"/>
              </w:rPr>
              <w:t>1</w:t>
            </w:r>
          </w:p>
        </w:tc>
        <w:tc>
          <w:tcPr>
            <w:tcW w:type="dxa" w:w="2351"/>
            <w:shd w:val="clear" w:color="auto" w:fill="FFFFFF"/>
          </w:tcPr>
          <w:p>
            <w:r>
              <w:rPr>
                <w:rFonts w:ascii="Arial" w:hAnsi="Arial"/>
                <w:sz w:val="19"/>
              </w:rPr>
              <w:t>Rapport NUANS (verification federale)</w:t>
            </w:r>
          </w:p>
        </w:tc>
        <w:tc>
          <w:tcPr>
            <w:tcW w:type="dxa" w:w="2351"/>
            <w:shd w:val="clear" w:color="auto" w:fill="FFFFFF"/>
          </w:tcPr>
          <w:p>
            <w:r>
              <w:rPr>
                <w:rFonts w:ascii="Arial" w:hAnsi="Arial"/>
                <w:sz w:val="19"/>
              </w:rPr>
              <w:t>~30 $ a 75 $</w:t>
            </w:r>
          </w:p>
        </w:tc>
        <w:tc>
          <w:tcPr>
            <w:tcW w:type="dxa" w:w="2351"/>
            <w:shd w:val="clear" w:color="auto" w:fill="FFFFFF"/>
          </w:tcPr>
          <w:p>
            <w:r>
              <w:rPr>
                <w:rFonts w:ascii="Arial" w:hAnsi="Arial"/>
                <w:sz w:val="19"/>
              </w:rPr>
              <w:t>Ce soir — immediat</w:t>
            </w:r>
          </w:p>
        </w:tc>
      </w:tr>
      <w:tr>
        <w:tc>
          <w:tcPr>
            <w:tcW w:type="dxa" w:w="2351"/>
            <w:shd w:val="clear" w:color="auto" w:fill="F5F5F5"/>
          </w:tcPr>
          <w:p>
            <w:r>
              <w:rPr>
                <w:rFonts w:ascii="Arial" w:hAnsi="Arial"/>
                <w:sz w:val="19"/>
              </w:rPr>
              <w:t>2</w:t>
            </w:r>
          </w:p>
        </w:tc>
        <w:tc>
          <w:tcPr>
            <w:tcW w:type="dxa" w:w="2351"/>
            <w:shd w:val="clear" w:color="auto" w:fill="F5F5F5"/>
          </w:tcPr>
          <w:p>
            <w:r>
              <w:rPr>
                <w:rFonts w:ascii="Arial" w:hAnsi="Arial"/>
                <w:sz w:val="19"/>
              </w:rPr>
              <w:t>Marque OPIC — classes 35 + 42 (verbale)</w:t>
            </w:r>
          </w:p>
        </w:tc>
        <w:tc>
          <w:tcPr>
            <w:tcW w:type="dxa" w:w="2351"/>
            <w:shd w:val="clear" w:color="auto" w:fill="F5F5F5"/>
          </w:tcPr>
          <w:p>
            <w:r>
              <w:rPr>
                <w:rFonts w:ascii="Arial" w:hAnsi="Arial"/>
                <w:sz w:val="19"/>
              </w:rPr>
              <w:t>~916 $</w:t>
            </w:r>
          </w:p>
        </w:tc>
        <w:tc>
          <w:tcPr>
            <w:tcW w:type="dxa" w:w="2351"/>
            <w:shd w:val="clear" w:color="auto" w:fill="F5F5F5"/>
          </w:tcPr>
          <w:p>
            <w:r>
              <w:rPr>
                <w:rFonts w:ascii="Arial" w:hAnsi="Arial"/>
                <w:sz w:val="19"/>
              </w:rPr>
              <w:t>Des NUANS confirme</w:t>
            </w:r>
          </w:p>
        </w:tc>
      </w:tr>
      <w:tr>
        <w:tc>
          <w:tcPr>
            <w:tcW w:type="dxa" w:w="2351"/>
            <w:shd w:val="clear" w:color="auto" w:fill="FFFFFF"/>
          </w:tcPr>
          <w:p>
            <w:r>
              <w:rPr>
                <w:rFonts w:ascii="Arial" w:hAnsi="Arial"/>
                <w:sz w:val="19"/>
              </w:rPr>
              <w:t>3</w:t>
            </w:r>
          </w:p>
        </w:tc>
        <w:tc>
          <w:tcPr>
            <w:tcW w:type="dxa" w:w="2351"/>
            <w:shd w:val="clear" w:color="auto" w:fill="FFFFFF"/>
          </w:tcPr>
          <w:p>
            <w:r>
              <w:rPr>
                <w:rFonts w:ascii="Arial" w:hAnsi="Arial"/>
                <w:sz w:val="19"/>
              </w:rPr>
              <w:t>Incorporation SPA — REQ Quebec</w:t>
            </w:r>
          </w:p>
        </w:tc>
        <w:tc>
          <w:tcPr>
            <w:tcW w:type="dxa" w:w="2351"/>
            <w:shd w:val="clear" w:color="auto" w:fill="FFFFFF"/>
          </w:tcPr>
          <w:p>
            <w:r>
              <w:rPr>
                <w:rFonts w:ascii="Arial" w:hAnsi="Arial"/>
                <w:sz w:val="19"/>
              </w:rPr>
              <w:t>~385 $ (DIY) ou ~885-1 885 $ (avec avocate)</w:t>
            </w:r>
          </w:p>
        </w:tc>
        <w:tc>
          <w:tcPr>
            <w:tcW w:type="dxa" w:w="2351"/>
            <w:shd w:val="clear" w:color="auto" w:fill="FFFFFF"/>
          </w:tcPr>
          <w:p>
            <w:r>
              <w:rPr>
                <w:rFonts w:ascii="Arial" w:hAnsi="Arial"/>
                <w:sz w:val="19"/>
              </w:rPr>
              <w:t>Semaines suivantes</w:t>
            </w:r>
          </w:p>
        </w:tc>
      </w:tr>
      <w:tr>
        <w:tc>
          <w:tcPr>
            <w:tcW w:type="dxa" w:w="2351"/>
            <w:shd w:val="clear" w:color="auto" w:fill="F5F5F5"/>
          </w:tcPr>
          <w:p>
            <w:r>
              <w:rPr>
                <w:rFonts w:ascii="Arial" w:hAnsi="Arial"/>
                <w:sz w:val="19"/>
              </w:rPr>
              <w:t>4</w:t>
            </w:r>
          </w:p>
        </w:tc>
        <w:tc>
          <w:tcPr>
            <w:tcW w:type="dxa" w:w="2351"/>
            <w:shd w:val="clear" w:color="auto" w:fill="F5F5F5"/>
          </w:tcPr>
          <w:p>
            <w:r>
              <w:rPr>
                <w:rFonts w:ascii="Arial" w:hAnsi="Arial"/>
                <w:sz w:val="19"/>
              </w:rPr>
              <w:t>Continuation federale (Corporations Canada)</w:t>
            </w:r>
          </w:p>
        </w:tc>
        <w:tc>
          <w:tcPr>
            <w:tcW w:type="dxa" w:w="2351"/>
            <w:shd w:val="clear" w:color="auto" w:fill="F5F5F5"/>
          </w:tcPr>
          <w:p>
            <w:r>
              <w:rPr>
                <w:rFonts w:ascii="Arial" w:hAnsi="Arial"/>
                <w:sz w:val="19"/>
              </w:rPr>
              <w:t>~200 $ + honoraires</w:t>
            </w:r>
          </w:p>
        </w:tc>
        <w:tc>
          <w:tcPr>
            <w:tcW w:type="dxa" w:w="2351"/>
            <w:shd w:val="clear" w:color="auto" w:fill="F5F5F5"/>
          </w:tcPr>
          <w:p>
            <w:r>
              <w:rPr>
                <w:rFonts w:ascii="Arial" w:hAnsi="Arial"/>
                <w:sz w:val="19"/>
              </w:rPr>
              <w:t>Phase 2 / SaaS</w:t>
            </w:r>
          </w:p>
        </w:tc>
      </w:tr>
      <w:tr>
        <w:tc>
          <w:tcPr>
            <w:tcW w:type="dxa" w:w="2351"/>
            <w:shd w:val="clear" w:color="auto" w:fill="FFF3E8"/>
          </w:tcPr>
          <w:p>
            <w:r>
              <w:rPr>
                <w:rFonts w:ascii="Arial" w:hAnsi="Arial"/>
                <w:b/>
                <w:sz w:val="19"/>
              </w:rPr>
            </w:r>
          </w:p>
        </w:tc>
        <w:tc>
          <w:tcPr>
            <w:tcW w:type="dxa" w:w="2351"/>
            <w:shd w:val="clear" w:color="auto" w:fill="FFF3E8"/>
          </w:tcPr>
          <w:p>
            <w:r>
              <w:rPr>
                <w:rFonts w:ascii="Arial" w:hAnsi="Arial"/>
                <w:b/>
                <w:sz w:val="19"/>
              </w:rPr>
              <w:t>TOTAL PHASE 1 (etapes 1 a 3)</w:t>
            </w:r>
          </w:p>
        </w:tc>
        <w:tc>
          <w:tcPr>
            <w:tcW w:type="dxa" w:w="2351"/>
            <w:shd w:val="clear" w:color="auto" w:fill="FFF3E8"/>
          </w:tcPr>
          <w:p>
            <w:r>
              <w:rPr>
                <w:rFonts w:ascii="Arial" w:hAnsi="Arial"/>
                <w:b/>
                <w:color w:val="FF7A1A"/>
                <w:sz w:val="19"/>
              </w:rPr>
              <w:t>~1 331 $ a 2 876 $</w:t>
            </w:r>
          </w:p>
        </w:tc>
        <w:tc>
          <w:tcPr>
            <w:tcW w:type="dxa" w:w="2351"/>
            <w:shd w:val="clear" w:color="auto" w:fill="FFF3E8"/>
          </w:tcPr>
          <w:p>
            <w:r>
              <w:rPr>
                <w:rFonts w:ascii="Arial" w:hAnsi="Arial"/>
                <w:b/>
                <w:sz w:val="19"/>
              </w:rPr>
              <w:t>Mai-juin 2026</w:t>
            </w:r>
          </w:p>
        </w:tc>
      </w:tr>
    </w:tbl>
    <w:p>
      <w:pPr>
        <w:spacing w:before="0" w:after="0"/>
      </w:pPr>
    </w:p>
    <w:p>
      <w:pPr>
        <w:spacing w:before="360" w:after="80"/>
        <w:pBdr>
          <w:bottom w:val="single" w:sz="12" w:space="4" w:color="FF7A1A"/>
        </w:pBdr>
      </w:pPr>
      <w:r>
        <w:rPr>
          <w:rFonts w:ascii="Arial" w:hAnsi="Arial"/>
          <w:b/>
          <w:color w:val="FF7A1A"/>
          <w:sz w:val="28"/>
        </w:rPr>
        <w:t>5. Pourquoi cette approche est la bonne pour Groupe Supernova</w:t>
      </w:r>
    </w:p>
    <w:p>
      <w:pPr>
        <w:spacing w:before="200" w:after="40"/>
      </w:pPr>
      <w:r>
        <w:rPr>
          <w:rFonts w:ascii="Arial" w:hAnsi="Arial"/>
          <w:b/>
          <w:color w:val="1A1A2E"/>
          <w:sz w:val="22"/>
        </w:rPr>
        <w:t>Risque minimal, protection maximale</w:t>
      </w:r>
    </w:p>
    <w:p>
      <w:pPr>
        <w:spacing w:before="0" w:after="100"/>
      </w:pPr>
      <w:r>
        <w:rPr>
          <w:rFonts w:ascii="Arial" w:hAnsi="Arial"/>
          <w:color w:val="1A1A1A"/>
          <w:sz w:val="21"/>
        </w:rPr>
        <w:t>En debutant par le rapport NUANS a ~30 $, la disponibilite du nom est validee AVANT tout engagement financier significatif. La marque OPIC, deposee en deuxieme, cree une protection nationale qui surpasse l'incorporation en termes de portee geographique et temporelle.</w:t>
      </w:r>
    </w:p>
    <w:p>
      <w:pPr>
        <w:spacing w:before="200" w:after="40"/>
      </w:pPr>
      <w:r>
        <w:rPr>
          <w:rFonts w:ascii="Arial" w:hAnsi="Arial"/>
          <w:b/>
          <w:color w:val="1A1A2E"/>
          <w:sz w:val="22"/>
        </w:rPr>
        <w:t>Adequation avec la realite operationnelle actuelle</w:t>
      </w:r>
    </w:p>
    <w:p>
      <w:pPr>
        <w:spacing w:before="0" w:after="100"/>
      </w:pPr>
      <w:r>
        <w:rPr>
          <w:rFonts w:ascii="Arial" w:hAnsi="Arial"/>
          <w:color w:val="1A1A1A"/>
          <w:sz w:val="21"/>
        </w:rPr>
        <w:t>L'incorporation provinciale suffit pour les operations actuelles — tous les clients sont au Quebec, toute l'equipe est au Quebec. Une incorporation federale immediate ajouterait des obligations administratives (double rapport annuel, double declaration fiscale) sans benefice tangible a ce stade.</w:t>
      </w:r>
    </w:p>
    <w:p>
      <w:pPr>
        <w:spacing w:before="200" w:after="40"/>
      </w:pPr>
      <w:r>
        <w:rPr>
          <w:rFonts w:ascii="Arial" w:hAnsi="Arial"/>
          <w:b/>
          <w:color w:val="1A1A2E"/>
          <w:sz w:val="22"/>
        </w:rPr>
        <w:t>La marque protege au-dela de l'incorporation</w:t>
      </w:r>
    </w:p>
    <w:p>
      <w:pPr>
        <w:spacing w:before="0" w:after="100"/>
      </w:pPr>
      <w:r>
        <w:rPr>
          <w:rFonts w:ascii="Arial" w:hAnsi="Arial"/>
          <w:color w:val="1A1A1A"/>
          <w:sz w:val="21"/>
        </w:rPr>
        <w:t>Une societe provinciale n'a pas de protection de son nom hors Quebec. La marque OPIC protege 'Groupe Supernova' dans tout le Canada dans les secteurs 35 et 42 — y compris contre toute nouvelle societe qui voudrait s'incorporer sous un nom similaire dans une autre province. C'est la vraie protection a long terme pour le canal YouTube, les sites publicitaires et les futurs produits SaaS.</w:t>
      </w:r>
    </w:p>
    <w:p>
      <w:pPr>
        <w:spacing w:before="200" w:after="40"/>
      </w:pPr>
      <w:r>
        <w:rPr>
          <w:rFonts w:ascii="Arial" w:hAnsi="Arial"/>
          <w:b/>
          <w:color w:val="1A1A2E"/>
          <w:sz w:val="22"/>
        </w:rPr>
        <w:t>Structure ideale pour la croissance de l'equipe</w:t>
      </w:r>
    </w:p>
    <w:p>
      <w:pPr>
        <w:spacing w:before="0" w:after="100"/>
      </w:pPr>
      <w:r>
        <w:rPr>
          <w:rFonts w:ascii="Arial" w:hAnsi="Arial"/>
          <w:color w:val="1A1A1A"/>
          <w:sz w:val="21"/>
        </w:rPr>
        <w:t>La Societe par actions facilite l'integration future d'Alexandra, Paulina et Gabriel comme actionnaires ou beneficiaires de dividendes. Les conventions d'actionnaires et les plans d'options (a prevoir avec l'avocate) securisent les contributions de chacun des le depart.</w:t>
      </w:r>
    </w:p>
    <w:p>
      <w:pPr>
        <w:spacing w:before="0" w:after="0"/>
      </w:pPr>
    </w:p>
    <w:p>
      <w:pPr>
        <w:spacing w:before="360" w:after="80"/>
        <w:pBdr>
          <w:bottom w:val="single" w:sz="12" w:space="4" w:color="FF7A1A"/>
        </w:pBdr>
      </w:pPr>
      <w:r>
        <w:rPr>
          <w:rFonts w:ascii="Arial" w:hAnsi="Arial"/>
          <w:b/>
          <w:color w:val="FF7A1A"/>
          <w:sz w:val="28"/>
        </w:rPr>
        <w:t>6. Questions et points a valider avec l'avocate</w:t>
      </w:r>
    </w:p>
    <w:p>
      <w:pPr>
        <w:pStyle w:val="ListBullet"/>
        <w:spacing w:after="60"/>
      </w:pPr>
      <w:r>
        <w:rPr>
          <w:rFonts w:ascii="Arial" w:hAnsi="Arial"/>
          <w:sz w:val="21"/>
        </w:rPr>
        <w:t>Pouvez-vous coordonner le depot OPIC et la constitution REQ en un seul mandat (forfait incorporation + marque) ?</w:t>
      </w:r>
    </w:p>
    <w:p>
      <w:pPr>
        <w:pStyle w:val="ListBullet"/>
        <w:spacing w:after="60"/>
      </w:pPr>
      <w:r>
        <w:rPr>
          <w:rFonts w:ascii="Arial" w:hAnsi="Arial"/>
          <w:sz w:val="21"/>
        </w:rPr>
        <w:t>Quelles clauses recommandez-vous pour les statuts constitutifs, compte tenu des 4 membres d'equipe prevus (Jonathan, Alexandra, Paulina, Gabriel) ?</w:t>
      </w:r>
    </w:p>
    <w:p>
      <w:pPr>
        <w:pStyle w:val="ListBullet"/>
        <w:spacing w:after="60"/>
      </w:pPr>
      <w:r>
        <w:rPr>
          <w:rFonts w:ascii="Arial" w:hAnsi="Arial"/>
          <w:sz w:val="21"/>
        </w:rPr>
        <w:t>Une convention d'actionnaires est-elle necessaire des la constitution, ou peut-elle attendre que les roles soient formalises ?</w:t>
      </w:r>
    </w:p>
    <w:p>
      <w:pPr>
        <w:pStyle w:val="ListBullet"/>
        <w:spacing w:after="60"/>
      </w:pPr>
      <w:r>
        <w:rPr>
          <w:rFonts w:ascii="Arial" w:hAnsi="Arial"/>
          <w:sz w:val="21"/>
        </w:rPr>
        <w:t>Y a-t-il des elements de la Loi sur la langue francaise (Loi 101) a anticiper pour l'utilisation du nom en contexte bilingue (FR/EN sur le site et les reseaux sociaux) ?</w:t>
      </w:r>
    </w:p>
    <w:p>
      <w:pPr>
        <w:pStyle w:val="ListBullet"/>
        <w:spacing w:after="60"/>
      </w:pPr>
      <w:r>
        <w:rPr>
          <w:rFonts w:ascii="Arial" w:hAnsi="Arial"/>
          <w:sz w:val="21"/>
        </w:rPr>
        <w:t>Recommandez-vous d'inscrire les numeros de taxes TPS/TVQ des la constitution ou apres le premier contrat ?</w:t>
      </w:r>
    </w:p>
    <w:p>
      <w:pPr>
        <w:pStyle w:val="ListBullet"/>
        <w:spacing w:after="60"/>
      </w:pPr>
      <w:r>
        <w:rPr>
          <w:rFonts w:ascii="Arial" w:hAnsi="Arial"/>
          <w:sz w:val="21"/>
        </w:rPr>
        <w:t>Comment proteger les actifs intellectuels deja crees (site web, marques visuelles, code source) lors du transfert vers la nouvelle societe ?</w:t>
      </w:r>
    </w:p>
    <w:p>
      <w:pPr>
        <w:pStyle w:val="ListBullet"/>
        <w:spacing w:after="60"/>
      </w:pPr>
      <w:r>
        <w:rPr>
          <w:rFonts w:ascii="Arial" w:hAnsi="Arial"/>
          <w:sz w:val="21"/>
        </w:rPr>
        <w:t>Pour la phase federale (SaaS), quelle forme recommandez-vous : continuation federale, ou nouvelle societe federale avec filiale quebecoise ?</w:t>
      </w:r>
    </w:p>
    <w:p>
      <w:pPr>
        <w:pStyle w:val="ListBullet"/>
        <w:spacing w:after="60"/>
      </w:pPr>
      <w:r>
        <w:rPr>
          <w:rFonts w:ascii="Arial" w:hAnsi="Arial"/>
          <w:sz w:val="21"/>
        </w:rPr>
        <w:t>Quelles sont les implications de la Loi 25 (protection des renseignements personnels) pour nos activites numeriques actuelles et futures ?</w:t>
      </w:r>
    </w:p>
    <w:p>
      <w:pPr>
        <w:spacing w:before="0" w:after="0"/>
      </w:pPr>
    </w:p>
    <w:p>
      <w:pPr>
        <w:spacing w:before="400"/>
        <w:pBdr>
          <w:bottom w:val="single" w:sz="12" w:space="4" w:color="FF7A1A"/>
        </w:pBdr>
        <w:jc w:val="center"/>
      </w:pPr>
      <w:r>
        <w:rPr>
          <w:rFonts w:ascii="Arial" w:hAnsi="Arial"/>
          <w:i/>
          <w:color w:val="888888"/>
          <w:sz w:val="18"/>
        </w:rPr>
        <w:t>Groupe Supernova  —  groupesupernova.ca  —  jonathan.patoine@groupesupernova.ca</w:t>
      </w:r>
    </w:p>
    <w:p>
      <w:pPr>
        <w:jc w:val="center"/>
      </w:pPr>
      <w:r>
        <w:rPr>
          <w:rFonts w:ascii="Arial" w:hAnsi="Arial"/>
          <w:color w:val="AAAAAA"/>
          <w:sz w:val="16"/>
        </w:rPr>
        <w:t>Document prepare avec l'assistance de l'IA Claude (Anthropic) — Mai 2026 — Pour consultation juridique seulement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