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b/>
          <w:bCs/>
          <w:color w:val="595959"/>
          <w:sz w:val="20"/>
          <w:szCs w:val="20"/>
        </w:rPr>
        <w:t xml:space="preserve">CREA · Centre for Research on Energy and Clean Air</w:t>
      </w:r>
    </w:p>
    <w:p>
      <w:pPr>
        <w:spacing w:after="120" w:before="600"/>
        <w:jc w:val="center"/>
      </w:pPr>
      <w:r>
        <w:rPr>
          <w:b/>
          <w:bCs/>
          <w:color w:val="1F4E79"/>
          <w:sz w:val="44"/>
          <w:szCs w:val="44"/>
        </w:rPr>
        <w:t xml:space="preserve">Identifying Systematically Irregular</w:t>
      </w:r>
    </w:p>
    <w:p>
      <w:pPr>
        <w:spacing w:after="120"/>
        <w:jc w:val="center"/>
      </w:pPr>
      <w:r>
        <w:rPr>
          <w:b/>
          <w:bCs/>
          <w:color w:val="1F4E79"/>
          <w:sz w:val="44"/>
          <w:szCs w:val="44"/>
        </w:rPr>
        <w:t xml:space="preserve">PM2.5 Reporting Stations</w:t>
      </w:r>
    </w:p>
    <w:p>
      <w:pPr>
        <w:spacing w:after="400"/>
        <w:jc w:val="center"/>
      </w:pPr>
      <w:r>
        <w:rPr>
          <w:i/>
          <w:iCs/>
          <w:color w:val="595959"/>
          <w:sz w:val="26"/>
          <w:szCs w:val="26"/>
        </w:rPr>
        <w:t xml:space="preserve">A Multi-Method Consensus Approach Across Four Countries</w:t>
      </w:r>
    </w:p>
    <w:p>
      <w:pPr>
        <w:spacing w:before="400"/>
        <w:jc w:val="center"/>
      </w:pPr>
      <w:r>
        <w:rPr>
          <w:color w:val="595959"/>
          <w:sz w:val="22"/>
          <w:szCs w:val="22"/>
        </w:rPr>
        <w:t xml:space="preserve">Data Challenge Submission</w:t>
      </w:r>
    </w:p>
    <w:p>
      <w:pPr>
        <w:jc w:val="center"/>
      </w:pPr>
      <w:r>
        <w:rPr>
          <w:color w:val="595959"/>
          <w:sz w:val="20"/>
          <w:szCs w:val="20"/>
        </w:rPr>
        <w:t xml:space="preserve">China · Germany · India · United States  |  OpenAQ 2021–2023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Executive Summary</w:t>
      </w:r>
    </w:p>
    <w:p>
      <w:pPr>
        <w:spacing w:after="120" w:line="276"/>
      </w:pPr>
      <w:r>
        <w:rPr>
          <w:sz w:val="22"/>
          <w:szCs w:val="22"/>
        </w:rPr>
        <w:t xml:space="preserve">This study identifies PM2.5 monitoring stations whose reporting behaviour is systematically irregular — potentially under-reporting, over-reporting, or failing to report — across four national networks drawn from OpenAQ (approximately 42 million hourly observations, 2021–2023, 3,151 stations).</w:t>
      </w:r>
    </w:p>
    <w:p>
      <w:pPr>
        <w:spacing w:after="120" w:line="276"/>
      </w:pPr>
      <w:r>
        <w:rPr>
          <w:sz w:val="22"/>
          <w:szCs w:val="22"/>
        </w:rPr>
        <w:t xml:space="preserve">Rather than relying on a single detector, we apply </w:t>
      </w:r>
      <w:r>
        <w:rPr>
          <w:b/>
          <w:bCs/>
          <w:sz w:val="22"/>
          <w:szCs w:val="22"/>
        </w:rPr>
        <w:t xml:space="preserve">three independent methods</w:t>
      </w:r>
      <w:r>
        <w:rPr>
          <w:sz w:val="22"/>
          <w:szCs w:val="22"/>
        </w:rPr>
        <w:t xml:space="preserve"> — spatial Z-score (station vs. neighbours), Isolation Forest (multivariate behaviour), and Benford's Law (digit-pattern integrity) — and combine them into a consensus ranking. The premise, following majority-voting frameworks in the sensor-network literature, is that stations flagged by multiple independent methods constitute far stronger evidence than any single method alone.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Key findings: </w:t>
      </w:r>
      <w:r>
        <w:rPr>
          <w:sz w:val="22"/>
          <w:szCs w:val="22"/>
        </w:rPr>
        <w:t xml:space="preserve">Two stations were flagged by all three methods; 28 by two methods. The strongest candidate (station 3033a, China) shows consistent evidence of under-reporting: it reports far below its spatial neighbours (Z = −8.8) with an unnatural digit distribution (Benford deviation 5.5 SD). Across the Z-score results, under-reporting dominates in China (55 stations), consistent with documented concerns in the air-quality literature.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Critical caveat: </w:t>
      </w:r>
      <w:r>
        <w:rPr>
          <w:sz w:val="22"/>
          <w:szCs w:val="22"/>
        </w:rPr>
        <w:t xml:space="preserve">Benford conformity varies sharply by country — acceptable for India, marginal for China, but non-conforming for Germany and the USA. Benford-based signals are therefore reliable only for India and China; for Germany and the USA, spatial and multivariate evidence must carry the conclusion.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1. Introduction</w:t>
      </w:r>
    </w:p>
    <w:p>
      <w:pPr>
        <w:spacing w:after="120" w:line="276"/>
      </w:pPr>
      <w:r>
        <w:rPr>
          <w:sz w:val="22"/>
          <w:szCs w:val="22"/>
        </w:rPr>
        <w:t xml:space="preserve">Fine particulate matter (PM2.5) is among the most health-damaging air pollutants, directly informing public-health policy and regulatory action. The integrity of the monitoring data underlying that policy is therefore essential. Large-scale networks, however, are vulnerable to both technical faults and — the focus of this work — systematically irregular reporting.</w:t>
      </w:r>
    </w:p>
    <w:p>
      <w:pPr>
        <w:spacing w:after="120" w:line="276"/>
      </w:pPr>
      <w:r>
        <w:rPr>
          <w:sz w:val="22"/>
          <w:szCs w:val="22"/>
        </w:rPr>
        <w:t xml:space="preserve">Existing anomaly-detection frameworks for air-quality networks, notably the ADF framework of Chen et al. (2018), focus predominantly on </w:t>
      </w:r>
      <w:r>
        <w:rPr>
          <w:i/>
          <w:iCs/>
          <w:sz w:val="22"/>
          <w:szCs w:val="22"/>
        </w:rPr>
        <w:t xml:space="preserve">technical sensor faults</w:t>
      </w:r>
      <w:r>
        <w:rPr>
          <w:sz w:val="22"/>
          <w:szCs w:val="22"/>
        </w:rPr>
        <w:t xml:space="preserve"> — indoor placement, emission-source proximity, hardware malfunction. This study extends that lineage toward a distinct question: identifying stations whose reporting is irregular in ways consistent with </w:t>
      </w:r>
      <w:r>
        <w:rPr>
          <w:i/>
          <w:iCs/>
          <w:sz w:val="22"/>
          <w:szCs w:val="22"/>
        </w:rPr>
        <w:t xml:space="preserve">systematic misreporting</w:t>
      </w:r>
      <w:r>
        <w:rPr>
          <w:sz w:val="22"/>
          <w:szCs w:val="22"/>
        </w:rPr>
        <w:t xml:space="preserve">, a dimension the original frameworks do not directly address.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2. Data</w:t>
      </w:r>
    </w:p>
    <w:p>
      <w:pPr>
        <w:spacing w:after="120" w:line="276"/>
      </w:pPr>
      <w:r>
        <w:rPr>
          <w:sz w:val="22"/>
          <w:szCs w:val="22"/>
        </w:rPr>
        <w:t xml:space="preserve">The analysis draws on OpenAQ measurement data for four countries spanning 2021–2023. After cleaning and filtering, the working dataset comprises 3,151 stations across China, Germany, India, and the USA.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Preparation (NB1–NB2). </w:t>
      </w:r>
      <w:r>
        <w:rPr>
          <w:sz w:val="22"/>
          <w:szCs w:val="22"/>
        </w:rPr>
        <w:t xml:space="preserve">Sentinel values and implausible coordinates were removed; a completeness filter (≥50% of the active reporting window) was applied, justified by all four countries showing first-quartile completeness well above that threshold. A left-truncation correction was introduced so stations that began reporting mid-window (notably in China) are assessed against their active period rather than the full window, avoiding a systematic bias against newer stations.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A key structural finding. </w:t>
      </w:r>
      <w:r>
        <w:rPr>
          <w:sz w:val="22"/>
          <w:szCs w:val="22"/>
        </w:rPr>
        <w:t xml:space="preserve">A Kolmogorov–Smirnov test confirmed that the four countries' PM2.5 distributions differ significantly (p &lt; 0.05). This result motivates a per-country design throughout: every detection method is applied within each country, never on pooled data.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3. Methodology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Design principle — no orphan parameters. </w:t>
      </w:r>
      <w:r>
        <w:rPr>
          <w:sz w:val="22"/>
          <w:szCs w:val="22"/>
        </w:rPr>
        <w:t xml:space="preserve">Every threshold used is either derived empirically from the data (with documented provenance) or drawn from a citable standard. No parameter is set by convention alone.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3.1 Spatial Z-score with leave-one-out</w:t>
      </w:r>
    </w:p>
    <w:p>
      <w:pPr>
        <w:spacing w:after="120" w:line="276"/>
      </w:pPr>
      <w:r>
        <w:rPr>
          <w:sz w:val="22"/>
          <w:szCs w:val="22"/>
        </w:rPr>
        <w:t xml:space="preserve">Each station's mean PM2.5 is compared to the mean of its spatial neighbours (within a per-country radius). Crucially, the neighbour statistics are computed </w:t>
      </w:r>
      <w:r>
        <w:rPr>
          <w:b/>
          <w:bCs/>
          <w:sz w:val="22"/>
          <w:szCs w:val="22"/>
        </w:rPr>
        <w:t xml:space="preserve">excluding the target station itself</w:t>
      </w:r>
      <w:r>
        <w:rPr>
          <w:sz w:val="22"/>
          <w:szCs w:val="22"/>
        </w:rPr>
        <w:t xml:space="preserve"> (leave-one-out), preventing an anomalous station from contaminating its own benchmark. The suspicion threshold was validated against the data rather than assumed. Anomalies are decomposed into SL (significantly low → under-reporting) and SH (significantly high → over-reporting), following Chen et al. (2018).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3.2 Isolation Forest</w:t>
      </w:r>
    </w:p>
    <w:p>
      <w:pPr>
        <w:spacing w:after="120" w:line="276"/>
      </w:pPr>
      <w:r>
        <w:rPr>
          <w:sz w:val="22"/>
          <w:szCs w:val="22"/>
        </w:rPr>
        <w:t xml:space="preserve">A multivariate detector run per country over seven engineered station features (mean, variability, range, missingness, extreme-rate relative to the country-specific P99, near-zero rate, and lag-1 autocorrelation). The contamination parameter (0.05) was validated empirically through a sensitivity analysis of P99-exceedance proportions, not accepted as a default.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3.3 Benford's Law</w:t>
      </w:r>
    </w:p>
    <w:p>
      <w:pPr>
        <w:spacing w:after="120" w:line="276"/>
      </w:pPr>
      <w:r>
        <w:rPr>
          <w:sz w:val="22"/>
          <w:szCs w:val="22"/>
        </w:rPr>
        <w:t xml:space="preserve">First-digit frequencies are compared to the Benford distribution. Following the principle that conformity must be </w:t>
      </w:r>
      <w:r>
        <w:rPr>
          <w:i/>
          <w:iCs/>
          <w:sz w:val="22"/>
          <w:szCs w:val="22"/>
        </w:rPr>
        <w:t xml:space="preserve">proven before</w:t>
      </w:r>
      <w:r>
        <w:rPr>
          <w:sz w:val="22"/>
          <w:szCs w:val="22"/>
        </w:rPr>
        <w:t xml:space="preserve"> irregularities can be attributed, global and per-country conformity are validated first (Section 4.2); only then are per-station deviations scored, and always as a relative signal within each country.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3.4 Consensus</w:t>
      </w:r>
    </w:p>
    <w:p>
      <w:pPr>
        <w:spacing w:after="120" w:line="276"/>
      </w:pPr>
      <w:r>
        <w:rPr>
          <w:sz w:val="22"/>
          <w:szCs w:val="22"/>
        </w:rPr>
        <w:t xml:space="preserve">Each method's scores are rank-normalised within country (placing all methods on a common 0–1 scale, robust to outliers), then combined two ways: a </w:t>
      </w:r>
      <w:r>
        <w:rPr>
          <w:b/>
          <w:bCs/>
          <w:sz w:val="22"/>
          <w:szCs w:val="22"/>
        </w:rPr>
        <w:t xml:space="preserve">vote count</w:t>
      </w:r>
      <w:r>
        <w:rPr>
          <w:sz w:val="22"/>
          <w:szCs w:val="22"/>
        </w:rPr>
        <w:t xml:space="preserve"> (how many methods flag a station) and a </w:t>
      </w:r>
      <w:r>
        <w:rPr>
          <w:b/>
          <w:bCs/>
          <w:sz w:val="22"/>
          <w:szCs w:val="22"/>
        </w:rPr>
        <w:t xml:space="preserve">combined score</w:t>
      </w:r>
      <w:r>
        <w:rPr>
          <w:sz w:val="22"/>
          <w:szCs w:val="22"/>
        </w:rPr>
        <w:t xml:space="preserve"> (mean normalised score). The two are complementary — the vote count answers “how many agree,” the combined score “how strong overall.”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4. Results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4.1 Per-method summary</w:t>
      </w:r>
    </w:p>
    <w:p>
      <w:pPr>
        <w:spacing w:after="120" w:line="276"/>
      </w:pPr>
      <w:r>
        <w:rPr>
          <w:sz w:val="22"/>
          <w:szCs w:val="22"/>
        </w:rPr>
        <w:t xml:space="preserve">The spatial Z-score flagged 129 stations overall (76 under-reporting, 53 over-reporting), with under-reporting concentrated in China (55 stations). Isolation Forest and Benford each contributed independent signals, detailed below.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4.2 Benford conformity by country — a finding in itself</w:t>
      </w:r>
    </w:p>
    <w:p>
      <w:pPr>
        <w:spacing w:after="120" w:line="276"/>
      </w:pPr>
      <w:r>
        <w:rPr>
          <w:sz w:val="22"/>
          <w:szCs w:val="22"/>
        </w:rPr>
        <w:t xml:space="preserve">Before per-station scoring, global conformity was confirmed (MAD = 0.006, close conformity). Per-country conformity, however, diverges sharply: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3000"/>
        <w:gridCol w:w="2360"/>
      </w:tblGrid>
      <w:tr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16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MAD</w:t>
            </w:r>
          </w:p>
        </w:tc>
        <w:tc>
          <w:tcPr>
            <w:tcW w:type="dxa" w:w="30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  <w:tc>
          <w:tcPr>
            <w:tcW w:type="dxa" w:w="23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Benford reliability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0.009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Acceptable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Reliable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China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0.013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Marginal</w:t>
            </w:r>
          </w:p>
        </w:tc>
        <w:tc>
          <w:tcPr>
            <w:tcW w:type="dxa" w:w="2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Fairly reliable</w:t>
            </w:r>
          </w:p>
        </w:tc>
      </w:tr>
      <w:tr>
        <w:tc>
          <w:tcPr>
            <w:tcW w:type="dxa" w:w="2400"/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Germany</w:t>
            </w:r>
          </w:p>
        </w:tc>
        <w:tc>
          <w:tcPr>
            <w:tcW w:type="dxa" w:w="1600"/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0.017</w:t>
            </w:r>
          </w:p>
        </w:tc>
        <w:tc>
          <w:tcPr>
            <w:tcW w:type="dxa" w:w="3000"/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Non-conforming</w:t>
            </w:r>
          </w:p>
        </w:tc>
        <w:tc>
          <w:tcPr>
            <w:tcW w:type="dxa" w:w="2360"/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 with caution</w:t>
            </w:r>
          </w:p>
        </w:tc>
      </w:tr>
      <w:tr>
        <w:tc>
          <w:tcPr>
            <w:tcW w:type="dxa" w:w="2400"/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</w:t>
            </w:r>
          </w:p>
        </w:tc>
        <w:tc>
          <w:tcPr>
            <w:tcW w:type="dxa" w:w="1600"/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0.025</w:t>
            </w:r>
          </w:p>
        </w:tc>
        <w:tc>
          <w:tcPr>
            <w:tcW w:type="dxa" w:w="3000"/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Non-conforming</w:t>
            </w:r>
          </w:p>
        </w:tc>
        <w:tc>
          <w:tcPr>
            <w:tcW w:type="dxa" w:w="2360"/>
            <w:shd w:fill="FDE9E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Interpret very cautiously</w:t>
            </w:r>
          </w:p>
        </w:tc>
      </w:tr>
    </w:tbl>
    <w:p>
      <w:pPr>
        <w:spacing w:after="120" w:before="120"/>
      </w:pPr>
      <w:r>
        <w:rPr>
          <w:i/>
          <w:iCs/>
          <w:sz w:val="22"/>
          <w:szCs w:val="22"/>
        </w:rPr>
        <w:t xml:space="preserve">Implication: </w:t>
      </w:r>
      <w:r>
        <w:rPr>
          <w:sz w:val="22"/>
          <w:szCs w:val="22"/>
        </w:rPr>
        <w:t xml:space="preserve">For Germany and the USA, even honest data does not follow Benford's Law; a Benford flag there cannot by itself indicate manipulation. For these countries, the spatial and multivariate methods carry the conclusion.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4.3 Inter-method correlation</w:t>
      </w:r>
    </w:p>
    <w:p>
      <w:pPr>
        <w:spacing w:after="120" w:line="276"/>
      </w:pPr>
      <w:r>
        <w:rPr>
          <w:sz w:val="22"/>
          <w:szCs w:val="22"/>
        </w:rPr>
        <w:t xml:space="preserve">Correlations among the three normalised scores are very low (0.05–0.11), confirming the methods capture genuinely different signals. This strengthens the value of consensus — agreement is not redundancy — but also makes unanimous (3-of-3) agreement rare and correspondingly strong.</w:t>
      </w:r>
    </w:p>
    <w:p>
      <w:pPr>
        <w:pStyle w:val="Heading2"/>
        <w:spacing w:after="100" w:before="200"/>
      </w:pPr>
      <w:r>
        <w:rPr>
          <w:b/>
          <w:bCs/>
          <w:color w:val="1F4E79"/>
          <w:sz w:val="24"/>
          <w:szCs w:val="24"/>
        </w:rPr>
        <w:t xml:space="preserve">4.4 Consensus ranking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1400"/>
        <w:gridCol w:w="2400"/>
        <w:gridCol w:w="1200"/>
        <w:gridCol w:w="1260"/>
      </w:tblGrid>
      <w:tr>
        <w:tc>
          <w:tcPr>
            <w:tcW w:type="dxa" w:w="9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2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Station</w:t>
            </w:r>
          </w:p>
        </w:tc>
        <w:tc>
          <w:tcPr>
            <w:tcW w:type="dxa" w:w="1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24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120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Votes</w:t>
            </w:r>
          </w:p>
        </w:tc>
        <w:tc>
          <w:tcPr>
            <w:tcW w:type="dxa" w:w="1260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3033a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China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 under-report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/ 3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0.98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3248a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China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 / 3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0.97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2598a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China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Benford (small n)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/ 2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0.998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airnow_261130001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/ 2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0.98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site_5856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India</w:t>
            </w:r>
          </w:p>
        </w:tc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/ 3</w:t>
            </w:r>
          </w:p>
        </w:tc>
        <w:tc>
          <w:tcPr>
            <w:tcW w:type="dxa" w:w="1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0.97</w:t>
            </w:r>
          </w:p>
        </w:tc>
      </w:tr>
    </w:tbl>
    <w:p>
      <w:pPr>
        <w:spacing w:before="140"/>
      </w:pPr>
      <w:r>
        <w:rPr>
          <w:b/>
          <w:bCs/>
          <w:sz w:val="22"/>
          <w:szCs w:val="22"/>
        </w:rPr>
        <w:t xml:space="preserve">Manual review — station 3033a (rank 1). </w:t>
      </w:r>
      <w:r>
        <w:rPr>
          <w:sz w:val="22"/>
          <w:szCs w:val="22"/>
        </w:rPr>
        <w:t xml:space="preserve">Flagged by all three methods with mutually consistent evidence: reports well below neighbours (under-reporting) with an unnatural digit distribution. This is the strongest manipulation candidate and the priority for follow-up verification.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Manual review — station 2598a (rank 3). </w:t>
      </w:r>
      <w:r>
        <w:rPr>
          <w:sz w:val="22"/>
          <w:szCs w:val="22"/>
        </w:rPr>
        <w:t xml:space="preserve">Highest Benford deviation overall (8.9 SD), but based on only ~3,250 observations versus ~8,000 for comparable Chinese stations. The extreme score may be partly a small-sample artefact; its time series must be inspected before any conclusion.</w:t>
      </w:r>
    </w:p>
    <w:p>
      <w:r>
        <w:br w:type="page"/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5. Discussion &amp; Limitations</w:t>
      </w:r>
    </w:p>
    <w:p>
      <w:pPr>
        <w:spacing w:after="120" w:line="276"/>
      </w:pPr>
      <w:r>
        <w:rPr>
          <w:sz w:val="22"/>
          <w:szCs w:val="22"/>
        </w:rPr>
        <w:t xml:space="preserve">The consensus approach converts three imperfect, independent signals into a defensible ranking. Its strength is also the source of its principal limitation: a consensus is only as good as the methods composing it.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Shared temporal blind spot. </w:t>
      </w:r>
      <w:r>
        <w:rPr>
          <w:sz w:val="22"/>
          <w:szCs w:val="22"/>
        </w:rPr>
        <w:t xml:space="preserve">The Z-score and Isolation Forest baselines use per-station aggregates, discarding the time dimension. Stations that under-report only intermittently may evade both; a spatio-temporal extension is the natural next step.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Country-dependent Benford reliability. </w:t>
      </w:r>
      <w:r>
        <w:rPr>
          <w:sz w:val="22"/>
          <w:szCs w:val="22"/>
        </w:rPr>
        <w:t xml:space="preserve">As shown in 4.2, Benford is not dependable for Germany and the USA. Conclusions there rest on the other two methods.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Small-sample sensitivity. </w:t>
      </w:r>
      <w:r>
        <w:rPr>
          <w:sz w:val="22"/>
          <w:szCs w:val="22"/>
        </w:rPr>
        <w:t xml:space="preserve">High deviation scores at low observation counts (e.g., station 2598a) may be partly artefactual and require manual inspection.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Consensus filters, it does not prove. </w:t>
      </w:r>
      <w:r>
        <w:rPr>
          <w:sz w:val="22"/>
          <w:szCs w:val="22"/>
        </w:rPr>
        <w:t xml:space="preserve">The ranking prioritises candidates for investigation; it is not itself proof of manipulation. Field or administrative verification remains necessary.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Fire cross-reference (GFED4). </w:t>
      </w:r>
      <w:r>
        <w:rPr>
          <w:sz w:val="22"/>
          <w:szCs w:val="22"/>
        </w:rPr>
        <w:t xml:space="preserve">Over-reporting (SH) candidates may be genuine — reflecting real smoke events. A GFED4 cross-reference notebook applies directional logic (exonerate SH-with-fire, retain SL regardless) and should be run with the actual fire database before final conclusions.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6. Conclusions &amp; Recommendations</w:t>
      </w:r>
    </w:p>
    <w:p>
      <w:pPr>
        <w:spacing w:after="120" w:line="276"/>
      </w:pPr>
      <w:r>
        <w:rPr>
          <w:sz w:val="22"/>
          <w:szCs w:val="22"/>
        </w:rPr>
        <w:t xml:space="preserve">Three independent detection methods, combined by consensus, identify a small set of PM2.5 stations warranting closer scrutiny. The strongest evidence points to under-reporting among a subset of Chinese stations, led by station 3033a.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Recommendation. </w:t>
      </w:r>
      <w:r>
        <w:rPr>
          <w:sz w:val="22"/>
          <w:szCs w:val="22"/>
        </w:rPr>
        <w:t xml:space="preserve">Prioritise verification of the multi-method (vote ≥ 2) candidates in India and China, where all three methods are reliable, beginning with unambiguous under-reporting cases that fire activity cannot explain. Treat Germany/USA Benford flags as provisional pending spatial-temporal confirmation.</w:t>
      </w:r>
    </w:p>
    <w:p>
      <w:pPr>
        <w:pStyle w:val="Heading1"/>
        <w:spacing w:after="140" w:before="280"/>
      </w:pPr>
      <w:r>
        <w:rPr>
          <w:b/>
          <w:bCs/>
          <w:color w:val="1F4E79"/>
          <w:sz w:val="30"/>
          <w:szCs w:val="30"/>
        </w:rPr>
        <w:t xml:space="preserve">Appendix · Reproducibility &amp; References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Pipeline. </w:t>
      </w:r>
      <w:r>
        <w:rPr>
          <w:sz w:val="22"/>
          <w:szCs w:val="22"/>
        </w:rPr>
        <w:t xml:space="preserve">NB1 (cleaning) → NB2 (EDA &amp; parameter derivation) → NB3 (spatial Z-score) → NB4 (Isolation Forest) → NB5 (Benford) → NB6 (consensus) → NB7 (GFED4 cross-reference). All parameters are centralised in params.yml with provenance recorded in parameter_derivation.json.</w:t>
      </w:r>
    </w:p>
    <w:p>
      <w:pPr>
        <w:spacing w:after="120" w:line="276"/>
      </w:pPr>
      <w:r>
        <w:rPr>
          <w:b/>
          <w:bCs/>
          <w:sz w:val="22"/>
          <w:szCs w:val="22"/>
        </w:rPr>
        <w:t xml:space="preserve">Core references.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Chen, L.-J., et al. (2018). ADF: An Anomaly Detection Framework for Large-scale PM2.5 Sensing Systems. IEEE IoT Journal 5(2).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Liu, F.T., Ting, K.M., Zhou, Z.-H. (2008). Isolation Forest. IEEE ICDM.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Nigrini, M.J. (2012). Benford's Law: Applications for Forensic Accounting, Auditing, and Fraud Detection. Wiley.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Fu et al. (2014). Application of Benford's Law to air-quality (AQI) data.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AIrSense (2023). Anomaly Detection and Repairing for Improving Air Quality Monitoring. Sensors 23(2).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2026-07-10T06:43:25.332Z</dcterms:created>
  <dcterms:modified xsi:type="dcterms:W3CDTF">2026-07-10T06:43:25.350Z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