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EAB" w:rsidP="00246015" w:rsidRDefault="004C2EAB" w14:paraId="0D8DF426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:rsidRPr="004C2EAB" w:rsidR="004C2EAB" w:rsidP="00246015" w:rsidRDefault="004C2EAB" w14:paraId="19DBFFD8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C2EAB" w:rsidP="00246015" w:rsidRDefault="004C2EAB" w14:paraId="27F2B120" w14:textId="00188C7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250411PP10006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:rsidTr="47C8CA53" w14:paraId="597C7E73" w14:textId="77777777">
        <w:trPr>
          <w:trHeight w:val="57"/>
        </w:trPr>
        <w:tc>
          <w:tcPr>
            <w:tcW w:w="970" w:type="pct"/>
            <w:tcMar/>
            <w:vAlign w:val="center"/>
          </w:tcPr>
          <w:p w:rsidRPr="004C2EAB" w:rsidR="007603BB" w:rsidP="00975E2E" w:rsidRDefault="00975E2E" w14:paraId="2481E02F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tcMar/>
            <w:vAlign w:val="center"/>
          </w:tcPr>
          <w:p w:rsidRPr="004C2EAB" w:rsidR="004C2EAB" w:rsidP="00246015" w:rsidRDefault="004C2EAB" w14:paraId="25823076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tcMar/>
            <w:vAlign w:val="center"/>
          </w:tcPr>
          <w:p w:rsidRPr="004C2EAB" w:rsidR="004C2EAB" w:rsidP="00246015" w:rsidRDefault="004C2EAB" w14:paraId="0E89D9FD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:rsidTr="47C8CA53" w14:paraId="31FAF8EE" w14:textId="77777777">
        <w:trPr>
          <w:trHeight w:val="57"/>
        </w:trPr>
        <w:tc>
          <w:tcPr>
            <w:tcW w:w="970" w:type="pct"/>
            <w:tcMar/>
            <w:vAlign w:val="center"/>
          </w:tcPr>
          <w:p w:rsidRPr="004C2EAB" w:rsidR="004C2EAB" w:rsidP="00091F44" w:rsidRDefault="003A4D16" w14:paraId="180BDCD1" w14:textId="04CF994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tcMar/>
            <w:vAlign w:val="center"/>
          </w:tcPr>
          <w:p w:rsidRPr="00975E2E" w:rsidR="004C2EAB" w:rsidP="003A4D16" w:rsidRDefault="00F025B7" w14:paraId="1A230C01" w14:textId="6CDA2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Contratação de pessoa jurídica para prestação de serviços de mão de obras para executar a limpeza e capinagem dos prédios públicos do município de Coremas–PB, nas secretarias de Educação, Saúde e Urbanismo compreendendo as demais secretarias, conforme projeto básico.</w:t>
            </w:r>
          </w:p>
        </w:tc>
        <w:tc>
          <w:tcPr>
            <w:tcW w:w="1045" w:type="pct"/>
            <w:tcMar/>
            <w:vAlign w:val="center"/>
          </w:tcPr>
          <w:p w:rsidRPr="00CD151F" w:rsidR="004C2EAB" w:rsidP="00091F44" w:rsidRDefault="00CD151F" w14:paraId="4D90402E" w14:textId="499B976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08:30 (oito horas e trinta minutos).</w:t>
            </w:r>
          </w:p>
        </w:tc>
      </w:tr>
    </w:tbl>
    <w:p w:rsidR="004C2EAB" w:rsidP="47C8CA53" w:rsidRDefault="004C2EAB" w14:paraId="3C2466BB" w14:textId="3BF270F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4C2EAB" w:rsidP="47C8CA53" w:rsidRDefault="004C2EAB" w14:paraId="18684C48" w14:textId="1183F542">
      <w:pPr>
        <w:pStyle w:val="PargrafodaLista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C8CA53" w:rsidR="3DA774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Cuida-se de resposta ao Presidente da COMISSÃO PERMANENTE DE LICITAÇÃO da Prefeitura de Coremas, onde solicitou a análise das planilhas anexadas a proposta de preços do referido certame licitatório.</w:t>
      </w:r>
    </w:p>
    <w:p w:rsidR="004C2EAB" w:rsidP="00246015" w:rsidRDefault="004C2EAB" w14:paraId="59CDDD25" w14:textId="605080E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47C8CA53" w:rsidP="39D4D307" w:rsidRDefault="47C8CA53" w14:paraId="3630C2F7" w14:textId="467FD574">
      <w:pPr>
        <w:spacing w:after="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D4D307" w:rsidR="700335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 ANÁLISE DA PROPOSTA:</w:t>
      </w:r>
    </w:p>
    <w:p w:rsidR="47C8CA53" w:rsidP="39D4D307" w:rsidRDefault="47C8CA53" w14:paraId="55F6451C" w14:textId="529A7ECD">
      <w:pPr>
        <w:pStyle w:val="PargrafodaLista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9D4D307" w:rsidR="70033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Consta nos altos a proposta da empresa </w:t>
      </w:r>
      <w:r w:rsidRPr="39D4D307" w:rsidR="700335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 EMPREENDIMENTOS E SERVIÇOS LTDA</w:t>
      </w:r>
      <w:r w:rsidRPr="39D4D307" w:rsidR="70033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inscrita no CNPJ nº </w:t>
      </w:r>
      <w:r w:rsidRPr="39D4D307" w:rsidR="09FE3E4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53.841.709/0001-86</w:t>
      </w:r>
      <w:r w:rsidRPr="39D4D307" w:rsidR="700335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9D4D307" w:rsidR="70033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contendo folhas 01-2</w:t>
      </w:r>
      <w:r w:rsidRPr="39D4D307" w:rsidR="24D88B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8</w:t>
      </w:r>
      <w:r w:rsidRPr="39D4D307" w:rsidR="70033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onde após verificarmos as unidades, os quantitativos, os valores unitários e totais e a composição de planilhas:</w:t>
      </w:r>
    </w:p>
    <w:p w:rsidR="47C8CA53" w:rsidP="47C8CA53" w:rsidRDefault="47C8CA53" w14:paraId="76E4A8DB" w14:textId="7F8D72D1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51D89810" w:rsidP="71F2E090" w:rsidRDefault="51D89810" w14:paraId="39FB6FDF" w14:textId="2CCD07AE">
      <w:pPr>
        <w:spacing w:after="0" w:line="360" w:lineRule="auto"/>
        <w:ind w:firstLine="360"/>
        <w:jc w:val="both"/>
      </w:pPr>
      <w:r w:rsidRPr="71F2E090" w:rsidR="51D898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71F2E090" w:rsidR="51D8981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algumas incongruências previamente identificadas no edital, especialmente no que se refere à </w:t>
      </w:r>
      <w:r w:rsidRPr="71F2E090" w:rsidR="2495136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quantitativos, descrições de cargos e unidades de medida</w:t>
      </w:r>
      <w:r w:rsidRPr="71F2E090" w:rsidR="51D8981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nos itens relacionados às Secretarias de Infraestrutura, o que pode ter induzido à replicação incorreta de informações nas propostas apresentadas;</w:t>
      </w:r>
    </w:p>
    <w:p w:rsidR="47C8CA53" w:rsidP="47C8CA53" w:rsidRDefault="47C8CA53" w14:paraId="511DFEDD" w14:textId="667181AC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47C8CA53" w:rsidP="71F2E090" w:rsidRDefault="47C8CA53" w14:paraId="6C1EB636" w14:textId="2C5AE3D6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71F2E090" w:rsidR="78D70F65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71F2E090" w:rsidR="78D70F65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que a proposta da empresa </w:t>
      </w:r>
      <w:r w:rsidRPr="71F2E090" w:rsidR="78D70F65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AS EMPREENDIMENTOS E SERVIÇOS LTDA</w:t>
      </w:r>
      <w:r w:rsidRPr="71F2E090" w:rsidR="78D70F65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apresenta erro na descrição do Item 1 (um), tanto na planilha orçamentária quanto no cronograma físico-financeiro, indicando 3 (três) Auxiliares de Serviços sem menção ao Encarregado Geral de Obras, o que difere da composição correta adotada nas planilhas analíticas (3 (três) Auxiliares e 1 (um) Encarregado), e reflete a incongruência inicialmente observada no edital;</w:t>
      </w:r>
    </w:p>
    <w:p w:rsidR="47C8CA53" w:rsidP="71F2E090" w:rsidRDefault="47C8CA53" w14:paraId="33A80935" w14:textId="17B9249D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  <w:r w:rsidRPr="15A95824" w:rsidR="78D70F65">
        <w:rPr>
          <w:rFonts w:ascii="Times New Roman" w:hAnsi="Times New Roman" w:eastAsia="Calibri" w:cs="Times New Roman"/>
          <w:b w:val="1"/>
          <w:bCs w:val="1"/>
          <w:noProof w:val="0"/>
          <w:sz w:val="24"/>
          <w:szCs w:val="24"/>
          <w:lang w:val="pt-BR"/>
        </w:rPr>
        <w:t>CONSIDERANDO</w:t>
      </w:r>
      <w:r w:rsidRPr="15A95824" w:rsidR="78D70F65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, por fim, que as planilhas do Valor Total Global e de Composições de Preço Unitário apresentadas pela empresa foram elaboradas com base em bancos de dados oficiais – SINAPI e SIURB –, c</w:t>
      </w:r>
      <w:r w:rsidRPr="15A95824" w:rsidR="69FBBCA0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om data-base de outubro de 2024 e julho de 2024, respectivamente, conforme previsto em edital</w:t>
      </w:r>
      <w:r w:rsidRPr="15A95824" w:rsidR="78D70F65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;</w:t>
      </w:r>
    </w:p>
    <w:p w:rsidR="47C8CA53" w:rsidP="71F2E090" w:rsidRDefault="47C8CA53" w14:paraId="4FA6A8DA" w14:textId="4E28742F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47C8CA53" w:rsidP="71F2E090" w:rsidRDefault="47C8CA53" w14:paraId="57CCC1B9" w14:textId="04E99D2D">
      <w:pPr>
        <w:spacing w:after="0" w:line="360" w:lineRule="auto"/>
        <w:ind w:firstLine="360"/>
        <w:jc w:val="both"/>
        <w:rPr>
          <w:rFonts w:ascii="Times New Roman" w:hAnsi="Times New Roman" w:eastAsia="Calibri" w:cs="Times New Roman"/>
          <w:b w:val="0"/>
          <w:bCs w:val="0"/>
          <w:noProof w:val="0"/>
          <w:sz w:val="24"/>
          <w:szCs w:val="24"/>
          <w:lang w:val="pt-BR"/>
        </w:rPr>
      </w:pPr>
      <w:r w:rsidRPr="71F2E090" w:rsidR="78D70F65">
        <w:rPr>
          <w:rFonts w:ascii="Times New Roman" w:hAnsi="Times New Roman" w:eastAsia="Calibri" w:cs="Times New Roman"/>
          <w:b w:val="0"/>
          <w:bCs w:val="0"/>
          <w:noProof w:val="0"/>
          <w:sz w:val="24"/>
          <w:szCs w:val="24"/>
          <w:lang w:val="pt-BR"/>
        </w:rPr>
        <w:t>Verificou-se que, excetuada a inconsistência na descrição do Item 1 (um), as demais informações constantes nas planilhas analisadas encontram-se tecnicamente consistentes, não se observando falhas nos cálculos, valores unitários e totais.</w:t>
      </w:r>
    </w:p>
    <w:p w:rsidR="47C8CA53" w:rsidP="71F2E090" w:rsidRDefault="47C8CA53" w14:paraId="413A7373" w14:textId="2CF5D84D">
      <w:pPr>
        <w:pStyle w:val="Normal"/>
        <w:spacing w:after="0" w:line="360" w:lineRule="auto"/>
        <w:ind w:firstLine="360"/>
        <w:jc w:val="both"/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</w:pPr>
    </w:p>
    <w:p w:rsidR="000C4897" w:rsidP="47C8CA53" w:rsidRDefault="000C4897" w14:paraId="61AEEDFE" w14:textId="009B8E50">
      <w:pPr>
        <w:spacing w:after="0" w:line="360" w:lineRule="auto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71F2E090" w:rsidR="000C4897">
        <w:rPr>
          <w:rFonts w:ascii="Times New Roman" w:hAnsi="Times New Roman"/>
          <w:b w:val="1"/>
          <w:bCs w:val="1"/>
          <w:sz w:val="24"/>
          <w:szCs w:val="24"/>
        </w:rPr>
        <w:t>CONCLUSÃO:</w:t>
      </w:r>
    </w:p>
    <w:p w:rsidR="4C42D9A9" w:rsidP="39D4D307" w:rsidRDefault="4C42D9A9" w14:paraId="5D9D92E4" w14:textId="25814465">
      <w:pPr>
        <w:pStyle w:val="PargrafodaLista"/>
        <w:numPr>
          <w:ilvl w:val="0"/>
          <w:numId w:val="6"/>
        </w:numPr>
        <w:shd w:val="clear" w:color="auto" w:fill="FFFFFF" w:themeFill="background1"/>
        <w:spacing w:after="0" w:line="360" w:lineRule="auto"/>
        <w:ind w:right="-285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5A95824" w:rsidR="1E1887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Assim, pelo exposto, entendemos que não foram detectados erros relevantes nas planilhas apresentadas pela empresa </w:t>
      </w:r>
      <w:r w:rsidRPr="15A95824" w:rsidR="1E1887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AS EMPREENDIMENTOS E SERVIÇOS LTDA</w:t>
      </w:r>
      <w:r w:rsidRPr="15A95824" w:rsidR="1E1887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com exceção da falha na descrição do Item 1 (um), tanto na planilha orçamentária quanto no cronograma físico-financeiro, refletindo a inconsistência verificada previamente no edital. No mais, as exigências quanto </w:t>
      </w:r>
      <w:r w:rsidRPr="15A95824" w:rsidR="2360E4A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aos</w:t>
      </w:r>
      <w:r w:rsidRPr="15A95824" w:rsidR="1E1887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quantitativos, cálculos e valor total global foram atendidas.</w:t>
      </w:r>
    </w:p>
    <w:p w:rsidRPr="00CD151F" w:rsidR="00CD151F" w:rsidP="00CD151F" w:rsidRDefault="00CD151F" w14:paraId="3330EE05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71F2E090" w:rsidP="39D4D307" w:rsidRDefault="71F2E090" w14:paraId="07030BFE" w14:textId="2A433FCE">
      <w:pPr>
        <w:pStyle w:val="PargrafodaLista"/>
        <w:numPr>
          <w:ilvl w:val="0"/>
          <w:numId w:val="6"/>
        </w:numPr>
        <w:shd w:val="clear" w:color="auto" w:fill="FFFFFF" w:themeFill="background1"/>
        <w:spacing w:after="0" w:line="360" w:lineRule="auto"/>
        <w:ind w:right="-285"/>
        <w:jc w:val="both"/>
        <w:rPr>
          <w:rFonts w:ascii="Times New Roman" w:hAnsi="Times New Roman"/>
          <w:sz w:val="24"/>
          <w:szCs w:val="24"/>
          <w:lang w:eastAsia="pt-BR"/>
        </w:rPr>
      </w:pPr>
      <w:r w:rsidRPr="39D4D307" w:rsidR="58C9B231"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:rsidR="39D4D307" w:rsidP="39D4D307" w:rsidRDefault="39D4D307" w14:paraId="1EF78CC0" w14:textId="3F826F8B">
      <w:pPr>
        <w:pStyle w:val="PargrafodaLista"/>
        <w:shd w:val="clear" w:color="auto" w:fill="FFFFFF" w:themeFill="background1"/>
        <w:spacing w:after="0" w:line="360" w:lineRule="auto"/>
        <w:ind w:left="720" w:right="-285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Pr="000040F5" w:rsidR="00166763" w:rsidP="000040F5" w:rsidRDefault="00166763" w14:paraId="472D25CC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>(.....)</w:t>
      </w:r>
    </w:p>
    <w:p w:rsidR="00CD151F" w:rsidP="71F2E090" w:rsidRDefault="00CD151F" w14:paraId="3E3A40D6" w14:textId="4B6E6849">
      <w:pPr>
        <w:shd w:val="clear" w:color="auto" w:fill="FFFFFF" w:themeFill="background1"/>
        <w:spacing w:after="0" w:line="360" w:lineRule="auto"/>
        <w:ind w:left="2268" w:right="-285"/>
        <w:jc w:val="both"/>
        <w:rPr>
          <w:rFonts w:ascii="Times New Roman" w:hAnsi="Times New Roman" w:eastAsia="Times New Roman"/>
          <w:i w:val="1"/>
          <w:iCs w:val="1"/>
          <w:color w:val="000000"/>
          <w:lang w:eastAsia="pt-BR"/>
        </w:rPr>
      </w:pPr>
      <w:r w:rsidRPr="71F2E090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“ Os</w:t>
      </w:r>
      <w:r w:rsidRPr="71F2E090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 pareceres consubstanciam opiniões, pontos de vista de alguns agentes administrativos sobre matéria submetida à sua apreciação. Refletindo um juízo de valor, uma opinião pessoal do </w:t>
      </w:r>
      <w:r w:rsidRPr="71F2E090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parecista</w:t>
      </w:r>
      <w:r w:rsidRPr="71F2E090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, o parecer não vincula a autoridade que tem competência decisória, ou seja, aquela a quem cabe praticar o ato administrativo final. Trata-se de atos diversos – o parecer e o ato que o aprova ou rejeita. Como tais atos têm </w:t>
      </w:r>
      <w:r w:rsidRPr="71F2E090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conteúdos</w:t>
      </w:r>
      <w:r w:rsidRPr="71F2E090" w:rsidR="00166763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 </w:t>
      </w:r>
      <w:r w:rsidRPr="71F2E090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antagônicos, o agente que opina nunca poderá ser o que decide”. (Manual de Direito Administrativo, </w:t>
      </w:r>
      <w:r w:rsidRPr="71F2E090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21º edição</w:t>
      </w:r>
      <w:r w:rsidRPr="71F2E090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, Editora </w:t>
      </w:r>
      <w:r w:rsidRPr="71F2E090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>Lumen</w:t>
      </w:r>
      <w:r w:rsidRPr="71F2E090" w:rsidR="00CD151F"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  <w:t xml:space="preserve"> Juris, Rio de Janeiro, 2009, pág. 133)”.</w:t>
      </w:r>
    </w:p>
    <w:p w:rsidR="71F2E090" w:rsidP="71F2E090" w:rsidRDefault="71F2E090" w14:paraId="4AD882A4" w14:textId="03B67EAC">
      <w:pPr>
        <w:shd w:val="clear" w:color="auto" w:fill="FFFFFF" w:themeFill="background1"/>
        <w:spacing w:after="0" w:line="360" w:lineRule="auto"/>
        <w:ind w:left="2268" w:right="-285"/>
        <w:jc w:val="both"/>
        <w:rPr>
          <w:rFonts w:ascii="Times New Roman" w:hAnsi="Times New Roman" w:eastAsia="Times New Roman"/>
          <w:i w:val="1"/>
          <w:iCs w:val="1"/>
          <w:color w:val="000000" w:themeColor="text1" w:themeTint="FF" w:themeShade="FF"/>
          <w:lang w:eastAsia="pt-BR"/>
        </w:rPr>
      </w:pPr>
    </w:p>
    <w:p w:rsidR="00166763" w:rsidP="003165DD" w:rsidRDefault="00CD151F" w14:paraId="5BD62EA7" w14:textId="4CE65D83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:rsidRPr="00CD151F" w:rsidR="00CD151F" w:rsidP="00CD151F" w:rsidRDefault="00CD151F" w14:paraId="42C89F80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0C4897" w:rsidR="00246015" w:rsidP="39D4D307" w:rsidRDefault="006D1420" w14:paraId="15D1D1E1" w14:textId="1A9C924A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39D4D307" w:rsidR="3E6D3872">
        <w:rPr>
          <w:rFonts w:ascii="Times New Roman" w:hAnsi="Times New Roman"/>
          <w:sz w:val="24"/>
          <w:szCs w:val="24"/>
        </w:rPr>
        <w:t>É o parecer.</w:t>
      </w:r>
      <w:proofErr w:type="gramStart"/>
      <w:proofErr w:type="gramEnd"/>
    </w:p>
    <w:p w:rsidRPr="000C4897" w:rsidR="00246015" w:rsidP="39D4D307" w:rsidRDefault="006D1420" w14:paraId="627055D2" w14:textId="2DB37956">
      <w:pPr>
        <w:pStyle w:val="Normal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39D4D307" w:rsidR="201698EA">
        <w:rPr>
          <w:rFonts w:ascii="Times New Roman" w:hAnsi="Times New Roman"/>
          <w:sz w:val="24"/>
          <w:szCs w:val="24"/>
        </w:rPr>
        <w:t xml:space="preserve">Coremas/PB, </w:t>
      </w:r>
      <w:r w:rsidRPr="39D4D307" w:rsidR="0E8C4E3E">
        <w:rPr>
          <w:rFonts w:ascii="Times New Roman" w:hAnsi="Times New Roman"/>
          <w:sz w:val="24"/>
          <w:szCs w:val="24"/>
        </w:rPr>
        <w:t>22</w:t>
      </w:r>
      <w:r w:rsidRPr="39D4D307" w:rsidR="2FAF6A5E">
        <w:rPr>
          <w:rFonts w:ascii="Times New Roman" w:hAnsi="Times New Roman"/>
          <w:sz w:val="24"/>
          <w:szCs w:val="24"/>
        </w:rPr>
        <w:t xml:space="preserve"> de </w:t>
      </w:r>
      <w:r w:rsidRPr="39D4D307" w:rsidR="3A815873">
        <w:rPr>
          <w:rFonts w:ascii="Times New Roman" w:hAnsi="Times New Roman"/>
          <w:sz w:val="24"/>
          <w:szCs w:val="24"/>
        </w:rPr>
        <w:t>Maio</w:t>
      </w:r>
      <w:r w:rsidRPr="39D4D307" w:rsidR="3A815873">
        <w:rPr>
          <w:rFonts w:ascii="Times New Roman" w:hAnsi="Times New Roman"/>
          <w:sz w:val="24"/>
          <w:szCs w:val="24"/>
        </w:rPr>
        <w:t xml:space="preserve"> de 2025</w:t>
      </w:r>
      <w:r w:rsidRPr="39D4D307" w:rsidR="72FC4B80">
        <w:rPr>
          <w:rFonts w:ascii="Times New Roman" w:hAnsi="Times New Roman"/>
          <w:sz w:val="24"/>
          <w:szCs w:val="24"/>
        </w:rPr>
        <w:t>.</w:t>
      </w:r>
    </w:p>
    <w:sectPr w:rsidRPr="000C4897" w:rsidR="00246015" w:rsidSect="009D3F3D">
      <w:headerReference w:type="default" r:id="rId8"/>
      <w:footerReference w:type="default" r:id="rId9"/>
      <w:pgSz w:w="11906" w:h="16838" w:orient="portrait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3699" w:rsidP="00546099" w:rsidRDefault="00173699" w14:paraId="0EFF33E5" w14:textId="77777777">
      <w:pPr>
        <w:spacing w:after="0" w:line="240" w:lineRule="auto"/>
      </w:pPr>
      <w:r>
        <w:separator/>
      </w:r>
    </w:p>
  </w:endnote>
  <w:endnote w:type="continuationSeparator" w:id="0">
    <w:p w:rsidR="00173699" w:rsidP="00546099" w:rsidRDefault="00173699" w14:paraId="31F88F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D57FA" w:rsidRDefault="006D57FA" w14:paraId="5CB39224" w14:textId="77777777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9049C7" w:rsidR="006D57FA" w:rsidP="003F5689" w:rsidRDefault="006D57FA" w14:paraId="6FFA634A" w14:textId="77777777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3699" w:rsidP="00546099" w:rsidRDefault="00173699" w14:paraId="385462B1" w14:textId="77777777">
      <w:pPr>
        <w:spacing w:after="0" w:line="240" w:lineRule="auto"/>
      </w:pPr>
      <w:r>
        <w:separator/>
      </w:r>
    </w:p>
  </w:footnote>
  <w:footnote w:type="continuationSeparator" w:id="0">
    <w:p w:rsidR="00173699" w:rsidP="00546099" w:rsidRDefault="00173699" w14:paraId="73C279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D57FA" w:rsidP="003F5689" w:rsidRDefault="004B254F" w14:paraId="0D3D65C3" w14:textId="4D7028AF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:rsidR="006D57FA" w:rsidP="003F5689" w:rsidRDefault="006D57FA" w14:paraId="0775A44A" w14:textId="1257CD6A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="006D57FA" w:rsidP="003F5689" w:rsidRDefault="00F34378" w14:paraId="472C5212" w14:textId="2B797E49">
    <w:pPr>
      <w:pStyle w:val="Cabealho"/>
      <w:jc w:val="right"/>
      <w:rPr>
        <w:b/>
      </w:rPr>
    </w:pPr>
    <w:r>
      <w:rPr>
        <w:b/>
      </w:rPr>
      <w:t>SECRETARIA DE URBANISMO</w:t>
    </w:r>
  </w:p>
  <w:p w:rsidRPr="009049C7" w:rsidR="006D57FA" w:rsidP="003F5689" w:rsidRDefault="00000000" w14:paraId="0A55564F" w14:textId="77777777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67e1582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7f6d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1a40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9a6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2114082564">
    <w:abstractNumId w:val="1"/>
  </w:num>
  <w:num w:numId="2" w16cid:durableId="16939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91F44"/>
    <w:rsid w:val="000A38AC"/>
    <w:rsid w:val="000C4897"/>
    <w:rsid w:val="000E5BBE"/>
    <w:rsid w:val="0010684B"/>
    <w:rsid w:val="00111B5B"/>
    <w:rsid w:val="0012537F"/>
    <w:rsid w:val="00166763"/>
    <w:rsid w:val="00170453"/>
    <w:rsid w:val="00173699"/>
    <w:rsid w:val="00175830"/>
    <w:rsid w:val="0018236C"/>
    <w:rsid w:val="001A4365"/>
    <w:rsid w:val="001B637E"/>
    <w:rsid w:val="001D2A0B"/>
    <w:rsid w:val="001D70F0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3165DD"/>
    <w:rsid w:val="00333DDC"/>
    <w:rsid w:val="00352862"/>
    <w:rsid w:val="00361BF1"/>
    <w:rsid w:val="00365CA0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662E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91150"/>
    <w:rsid w:val="007E3106"/>
    <w:rsid w:val="007E4FA9"/>
    <w:rsid w:val="007E650B"/>
    <w:rsid w:val="007E7372"/>
    <w:rsid w:val="007E7A5D"/>
    <w:rsid w:val="007E7B9D"/>
    <w:rsid w:val="007F75B1"/>
    <w:rsid w:val="00802245"/>
    <w:rsid w:val="00832A0D"/>
    <w:rsid w:val="00842439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85AC9"/>
    <w:rsid w:val="00B90903"/>
    <w:rsid w:val="00B92337"/>
    <w:rsid w:val="00B9757A"/>
    <w:rsid w:val="00BA1F15"/>
    <w:rsid w:val="00BA4C97"/>
    <w:rsid w:val="00BC435C"/>
    <w:rsid w:val="00BC57D9"/>
    <w:rsid w:val="00BD58C5"/>
    <w:rsid w:val="00C01754"/>
    <w:rsid w:val="00C03903"/>
    <w:rsid w:val="00C06529"/>
    <w:rsid w:val="00C11BEF"/>
    <w:rsid w:val="00C1737B"/>
    <w:rsid w:val="00C70D21"/>
    <w:rsid w:val="00C82324"/>
    <w:rsid w:val="00C90AF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5EFD"/>
    <w:rsid w:val="00E8643D"/>
    <w:rsid w:val="00E94310"/>
    <w:rsid w:val="00EB0095"/>
    <w:rsid w:val="00EB6594"/>
    <w:rsid w:val="00EC6440"/>
    <w:rsid w:val="00ED540E"/>
    <w:rsid w:val="00ED6D60"/>
    <w:rsid w:val="00EE48C9"/>
    <w:rsid w:val="00EF2121"/>
    <w:rsid w:val="00F00CC1"/>
    <w:rsid w:val="00F025B7"/>
    <w:rsid w:val="00F34378"/>
    <w:rsid w:val="00F34A11"/>
    <w:rsid w:val="00F546FA"/>
    <w:rsid w:val="00F61982"/>
    <w:rsid w:val="00F61F12"/>
    <w:rsid w:val="00F80845"/>
    <w:rsid w:val="00FD2D09"/>
    <w:rsid w:val="00FD3D95"/>
    <w:rsid w:val="00FD5BFD"/>
    <w:rsid w:val="00FE7064"/>
    <w:rsid w:val="049C16BB"/>
    <w:rsid w:val="065D6E38"/>
    <w:rsid w:val="0695CF30"/>
    <w:rsid w:val="09FE3E49"/>
    <w:rsid w:val="0AF5F53D"/>
    <w:rsid w:val="0B59CAD5"/>
    <w:rsid w:val="0BAE8AE1"/>
    <w:rsid w:val="0BB7D1C1"/>
    <w:rsid w:val="0D97F794"/>
    <w:rsid w:val="0E8C4E3E"/>
    <w:rsid w:val="1012AECE"/>
    <w:rsid w:val="10A256BC"/>
    <w:rsid w:val="14BE89D8"/>
    <w:rsid w:val="158B1DC9"/>
    <w:rsid w:val="15A95824"/>
    <w:rsid w:val="17372CA1"/>
    <w:rsid w:val="17B1470C"/>
    <w:rsid w:val="19AAD75A"/>
    <w:rsid w:val="19F0BAE0"/>
    <w:rsid w:val="1CC363AF"/>
    <w:rsid w:val="1E1887AB"/>
    <w:rsid w:val="201698EA"/>
    <w:rsid w:val="205071BB"/>
    <w:rsid w:val="2266A4EA"/>
    <w:rsid w:val="226F3CE4"/>
    <w:rsid w:val="2360E4A9"/>
    <w:rsid w:val="23A08E29"/>
    <w:rsid w:val="247326F7"/>
    <w:rsid w:val="2495136F"/>
    <w:rsid w:val="24D88B27"/>
    <w:rsid w:val="25D8EF8D"/>
    <w:rsid w:val="2A68D016"/>
    <w:rsid w:val="2B89FD01"/>
    <w:rsid w:val="2C69F4CC"/>
    <w:rsid w:val="2C7C1B12"/>
    <w:rsid w:val="2EE1F4FA"/>
    <w:rsid w:val="2FAF6A5E"/>
    <w:rsid w:val="2FC1227D"/>
    <w:rsid w:val="37EED1F8"/>
    <w:rsid w:val="37EED1F8"/>
    <w:rsid w:val="38DC0DA0"/>
    <w:rsid w:val="39009F63"/>
    <w:rsid w:val="39103B87"/>
    <w:rsid w:val="39D4D307"/>
    <w:rsid w:val="3A815873"/>
    <w:rsid w:val="3B8F09F1"/>
    <w:rsid w:val="3DA7743A"/>
    <w:rsid w:val="3E6D3872"/>
    <w:rsid w:val="414A054A"/>
    <w:rsid w:val="41B61D5B"/>
    <w:rsid w:val="44B4CE0D"/>
    <w:rsid w:val="477C39A3"/>
    <w:rsid w:val="47C8CA53"/>
    <w:rsid w:val="47D4992F"/>
    <w:rsid w:val="4883CB3A"/>
    <w:rsid w:val="495CD860"/>
    <w:rsid w:val="49E5B195"/>
    <w:rsid w:val="4A531E97"/>
    <w:rsid w:val="4C42D9A9"/>
    <w:rsid w:val="4C57779E"/>
    <w:rsid w:val="4CA3A3F7"/>
    <w:rsid w:val="4D34C0FD"/>
    <w:rsid w:val="4F3FD369"/>
    <w:rsid w:val="51504D5F"/>
    <w:rsid w:val="51D89810"/>
    <w:rsid w:val="53FDC79F"/>
    <w:rsid w:val="550EC766"/>
    <w:rsid w:val="55E95DBA"/>
    <w:rsid w:val="56DCB783"/>
    <w:rsid w:val="58C7C65E"/>
    <w:rsid w:val="58C9B231"/>
    <w:rsid w:val="58E50B3B"/>
    <w:rsid w:val="5A12E7C6"/>
    <w:rsid w:val="5A80D416"/>
    <w:rsid w:val="5D8FE46C"/>
    <w:rsid w:val="5DAF8BD2"/>
    <w:rsid w:val="5EA3CEAE"/>
    <w:rsid w:val="5F874033"/>
    <w:rsid w:val="6113568D"/>
    <w:rsid w:val="61323526"/>
    <w:rsid w:val="62E8974E"/>
    <w:rsid w:val="6398FA7F"/>
    <w:rsid w:val="63E5718D"/>
    <w:rsid w:val="65600EC4"/>
    <w:rsid w:val="6650A268"/>
    <w:rsid w:val="676A16BB"/>
    <w:rsid w:val="69FBBCA0"/>
    <w:rsid w:val="6B864221"/>
    <w:rsid w:val="6E5BE103"/>
    <w:rsid w:val="6F028AC5"/>
    <w:rsid w:val="6FA9D92B"/>
    <w:rsid w:val="70033532"/>
    <w:rsid w:val="7039110D"/>
    <w:rsid w:val="71F2E090"/>
    <w:rsid w:val="72C25C83"/>
    <w:rsid w:val="72FC4B80"/>
    <w:rsid w:val="75EA068D"/>
    <w:rsid w:val="762F6A7C"/>
    <w:rsid w:val="7891DBB6"/>
    <w:rsid w:val="78D70F65"/>
    <w:rsid w:val="78FA0906"/>
    <w:rsid w:val="790A5D02"/>
    <w:rsid w:val="793C9E7E"/>
    <w:rsid w:val="7A2AE2C3"/>
    <w:rsid w:val="7CCD4313"/>
    <w:rsid w:val="7EB96797"/>
    <w:rsid w:val="7FF6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099"/>
    <w:rPr>
      <w:rFonts w:ascii="Calibri" w:hAnsi="Calibri" w:eastAsia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6099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6099"/>
    <w:rPr>
      <w:rFonts w:ascii="Calibri" w:hAnsi="Calibri" w:eastAsia="Calibri" w:cs="Times New Roman"/>
    </w:rPr>
  </w:style>
  <w:style w:type="character" w:styleId="apple-converted-space" w:customStyle="1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67BA4"/>
    <w:rPr>
      <w:rFonts w:ascii="Tahoma" w:hAnsi="Tahoma" w:eastAsia="Calibri" w:cs="Tahoma"/>
      <w:sz w:val="16"/>
      <w:szCs w:val="16"/>
    </w:rPr>
  </w:style>
  <w:style w:type="paragraph" w:styleId="Default" w:customStyle="1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hAnsi="Calibri" w:eastAsia="Calibri" w:cs="Times New Roman"/>
    </w:rPr>
  </w:style>
  <w:style w:type="character" w:styleId="Ttulo1Char" w:customStyle="1">
    <w:name w:val="Título 1 Char"/>
    <w:basedOn w:val="Fontepargpadro"/>
    <w:link w:val="Ttulo1"/>
    <w:uiPriority w:val="9"/>
    <w:rsid w:val="00B909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66763"/>
    <w:rPr>
      <w:rFonts w:ascii="Calibri" w:hAnsi="Calibri" w:eastAsia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66763"/>
    <w:rPr>
      <w:rFonts w:ascii="Calibri" w:hAnsi="Calibri" w:eastAsia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</dc:creator>
  <lastModifiedBy>DOUGLAS WESLEY DE ALMEIDA</lastModifiedBy>
  <revision>9</revision>
  <lastPrinted>2018-05-25T12:35:00.0000000Z</lastPrinted>
  <dcterms:created xsi:type="dcterms:W3CDTF">2025-05-19T12:57:00.0000000Z</dcterms:created>
  <dcterms:modified xsi:type="dcterms:W3CDTF">2025-05-21T13:55:57.9478064Z</dcterms:modified>
</coreProperties>
</file>