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Слова, специфичного для подкорпуса детектив, боевик:</w:t>
      </w:r>
      <w:r w:rsidDel="00000000" w:rsidR="00000000" w:rsidRPr="00000000">
        <w:rPr>
          <w:rtl w:val="0"/>
        </w:rPr>
        <w:t xml:space="preserve"> “труп”, “свидетель”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Общеупотребительные слова: “</w:t>
      </w:r>
      <w:r w:rsidDel="00000000" w:rsidR="00000000" w:rsidRPr="00000000">
        <w:rPr>
          <w:rtl w:val="0"/>
        </w:rPr>
        <w:t xml:space="preserve">часть”, “лицо”</w:t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795"/>
        <w:gridCol w:w="1500"/>
        <w:gridCol w:w="1515"/>
        <w:gridCol w:w="1440"/>
        <w:gridCol w:w="780"/>
        <w:gridCol w:w="1125"/>
        <w:gridCol w:w="810"/>
        <w:tblGridChange w:id="0">
          <w:tblGrid>
            <w:gridCol w:w="1335"/>
            <w:gridCol w:w="795"/>
            <w:gridCol w:w="1500"/>
            <w:gridCol w:w="1515"/>
            <w:gridCol w:w="1440"/>
            <w:gridCol w:w="780"/>
            <w:gridCol w:w="1125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SpecC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(частота в  подкорпусе “детектив, боевик”)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RefC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(частота в контрастном корпусе “фантастика”)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LogLikelihood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Ранг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Хи-квадрат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P-value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Критическое значение = 3.84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Ранг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труп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1158/6904330 = 0.000168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753/6472928 = 0.000116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62.34 (overuse)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61.412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4.631e-15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свидетель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спец.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842/6904330 = 0.000122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339/6472928 = 0.000052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190.01 (overuse)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183.225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2.2e-16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часть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1876/6904330 = 0.000272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2611/6472928 = 0.000403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173.03 (underuse)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172.708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2.2e-16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лицо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общ.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7559/6904330 = 0.001095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7288/6472928 = 0.001126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 (underuse)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2.915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0.08932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LogLikelyhood</w:t>
      </w:r>
      <w:r w:rsidDel="00000000" w:rsidR="00000000" w:rsidRPr="00000000">
        <w:rPr>
          <w:rtl w:val="0"/>
        </w:rPr>
        <w:t xml:space="preserve"> - очень точный. У обоих слов, специфичных для подкорпуса “детектив, боевик”, тест выявил overuse, в то время как у общеупотребительных выявил underuse. Ранжирование соответственное.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Хи-квадрат</w:t>
      </w:r>
      <w:r w:rsidDel="00000000" w:rsidR="00000000" w:rsidRPr="00000000">
        <w:rPr>
          <w:rtl w:val="0"/>
        </w:rPr>
        <w:t xml:space="preserve"> - не точный, так как у одного из общеупотребительных слов ранг выше чем у специфичного для корпуса слова.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