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pPr>
      <w:r>
        <w:t>Muhammad Azan Rasul | RELI 368 | October 7, 2026</w:t>
      </w:r>
    </w:p>
    <w:p>
      <w:pPr>
        <w:pStyle w:val="Title"/>
        <w:spacing w:after="120"/>
        <w:jc w:val="center"/>
      </w:pPr>
      <w:r>
        <w:rPr>
          <w:b/>
        </w:rPr>
        <w:t>Women Prophets and the Meaning of Perfection</w:t>
      </w:r>
    </w:p>
    <w:p>
      <w:pPr>
        <w:ind w:firstLine="720"/>
      </w:pPr>
      <w:r>
        <w:rPr/>
        <w:t xml:space="preserve">Ismail Lala’s article, “How Can There Be Only Two Perfect Women? Misogynist Interpretations of Prophet Muhammad’s Sayings,” appeared in the </w:t>
      </w:r>
      <w:r>
        <w:rPr>
          <w:i/>
        </w:rPr>
        <w:t>Journal for the Academic Study of Religion</w:t>
      </w:r>
      <w:r>
        <w:t xml:space="preserve"> in July 2026. It examines a hadith that praises many men, but only Maryam and Asiya, as having reached perfection. I chose it because my paper asks why scholars disagree about women prophets. My argument is that their answers depend on how they define a prophet and what they count as proof. Lala adds another question worth asking: how much do their views of women shape the way they read religious texts?</w:t>
      </w:r>
    </w:p>
    <w:p>
      <w:pPr>
        <w:ind w:firstLine="720"/>
      </w:pPr>
      <w:r>
        <w:t>An opposing view is that the hadith’s praise of Maryam and Asiya refers to goodness rather than prophethood (Lala 2026, pp. 36–38). This is a fair distinction to consider. Calling someone an excellent person does not necessarily give that person a religious role. But the opposite question also needs an answer: what would show that the praise does refer to a prophet? Neither reading should be accepted just because it gives the answer someone already prefers.</w:t>
      </w:r>
    </w:p>
    <w:p>
      <w:pPr>
        <w:ind w:firstLine="720"/>
      </w:pPr>
      <w:r>
        <w:t>Lala follows Sunni hadith commentaries across centuries. He argues that “perfection” shifted from a meaning tied to prophecy toward moral goodness, with later readings often treating women as inferior. He also identifies challenges to that trend, especially from Ibn Hajar (Lala 2026, pp. 51–53). Following one debate over time is a strength. It lets the reader compare how scholars handle the same words instead of assuming that a familiar explanation has always been the only one.</w:t>
      </w:r>
    </w:p>
    <w:p>
      <w:pPr>
        <w:ind w:firstLine="720"/>
      </w:pPr>
      <w:r>
        <w:t>The discussion of majority opinion and consensus is especially useful. Lala writes that “the two terms are far from identical” (Lala 2026, p. 39). The difference is simple but important: most people agreeing is not the same as everyone agreeing. A claim of consensus can make a debate sound closed before the reader has even seen the other side. To assess that claim, I would want to know whose opinions were counted and how opposing views were handled. Respect for a scholar does not remove the need to check a broad claim made in that scholar’s name.</w:t>
      </w:r>
    </w:p>
    <w:p>
      <w:pPr>
        <w:ind w:firstLine="720"/>
      </w:pPr>
      <w:r>
        <w:t>I am less convinced by the article’s account of the earliest period. Lala says there was “no difference of opinion” about perfection meaning prophethood before the dispute developed (Lala 2026, p. 51). Yet his commentary survey starts with Ibn Battal, who died in 1057 (Lala 2026, p. 34). This leaves a gap between the period being described and the sources directly compared. A later account of earlier agreement is still evidence, but it needs checking against earlier records. Otherwise, the review risks challenging one claim that everyone agreed while accepting another too quickly. More early sources would make this part of the argument stronger.</w:t>
      </w:r>
    </w:p>
    <w:p>
      <w:pPr>
        <w:ind w:firstLine="720"/>
      </w:pPr>
      <w:r>
        <w:t>There is also a limit to what the focus on prejudice can explain. Lala discusses objections based on women’s public visibility (Lala 2026, pp. 48–50). This objection needs a closer look because it brings an expectation about women’s behavior into a question about who God can choose. Still, a harmful result does not by itself prove why someone reached it. A careful review should ask where a scholar states an assumption about women, where the reasoning depends on it, and where the disagreement concerns the meaning of the text. These explanations can overlap, but they are not the same thing.</w:t>
      </w:r>
    </w:p>
    <w:p>
      <w:pPr>
        <w:ind w:firstLine="720"/>
      </w:pPr>
      <w:r>
        <w:t>A woman’s worth and whether she was a prophet are separate questions. If a particular woman was not a prophet, that alone would tell us nothing about whether women are less capable or less faithful than men. Likewise, showing that an argument against women is unfair would not prove that she was a prophet. Keeping those questions separate makes room to criticize prejudice without skipping the need for proof of prophethood. It also keeps the paper focused on women generally, with Maryam and Asiya serving as examples.</w:t>
      </w:r>
    </w:p>
    <w:p>
      <w:pPr>
        <w:ind w:firstLine="720"/>
      </w:pPr>
      <w:r>
        <w:t>Lala’s article is most useful as a reason to look closely at how an answer became accepted. Its historical claims still need to be tested, especially where it describes early agreement. The strongest approach for my paper is to ask two things together: does a scholar’s reading fit the evidence, and what assumptions about women does that reading require? That gives me a way to explain the disagreement without reducing every scholar to being either for or against women.</w:t>
      </w:r>
    </w:p>
    <w:p>
      <w:pPr>
        <w:pStyle w:val="Heading1"/>
        <w:spacing w:before="120"/>
      </w:pPr>
      <w:r>
        <w:t>Reference</w:t>
      </w:r>
    </w:p>
    <w:p>
      <w:pPr>
        <w:spacing w:line="240" w:lineRule="auto"/>
        <w:ind w:left="720" w:hanging="720"/>
      </w:pPr>
      <w:r>
        <w:rPr/>
        <w:t xml:space="preserve">Lala, Ismail. 2026. “How Can There Be Only Two Perfect Women? Misogynist Interpretations of Prophet Muhammad’s Sayings.” </w:t>
      </w:r>
      <w:r>
        <w:rPr>
          <w:i/>
        </w:rPr>
        <w:t>Journal for the Academic Study of Religion</w:t>
      </w:r>
      <w:r>
        <w:t xml:space="preserve"> 39, no. 1, pp. 32–62. https://doi.org/10.1558/jasr.34447.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480" w:lineRule="auto" w:before="0"/>
      <w:contextualSpacing/>
    </w:pPr>
    <w:rPr>
      <w:rFonts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and the Evidence for Prophethood</dc:title>
  <dc:subject/>
  <dc:creator>Muhammad Azan Rasul</dc:creator>
  <cp:keywords/>
  <dc:description>generated by python-docx</dc:description>
  <cp:lastModifiedBy/>
  <cp:revision>1</cp:revision>
  <dcterms:created xsi:type="dcterms:W3CDTF">2013-12-23T23:15:00Z</dcterms:created>
  <dcterms:modified xsi:type="dcterms:W3CDTF">2013-12-23T23:15:00Z</dcterms:modified>
  <cp:category/>
</cp:coreProperties>
</file>