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40"/>
      </w:pPr>
      <w:r>
        <w:t>Muhammad Azan Rasul | RELI 368 | October 7, 2026</w:t>
      </w:r>
    </w:p>
    <w:p>
      <w:pPr>
        <w:pStyle w:val="Title"/>
        <w:spacing w:after="120"/>
        <w:jc w:val="center"/>
      </w:pPr>
      <w:r>
        <w:rPr>
          <w:b/>
        </w:rPr>
        <w:t>Women Prophets and Claims of Scholarly Agreement</w:t>
      </w:r>
    </w:p>
    <w:p>
      <w:pPr>
        <w:ind w:firstLine="720"/>
      </w:pPr>
      <w:r>
        <w:rPr/>
        <w:t xml:space="preserve">Halim Calis’s article, “Mary’s Prophethood Reassessed: Overlooked Medieval Islamic Perspectives in Contemporary Scholarship,” appeared in </w:t>
      </w:r>
      <w:r>
        <w:rPr>
          <w:i/>
        </w:rPr>
        <w:t>Religions</w:t>
      </w:r>
      <w:r>
        <w:t xml:space="preserve">, volume 15, issue 4, in April 2024. I chose it because it broadens the debate beyond Ibn Hazm and asks whether modern accounts have left out important evidence. My thesis is that definitions and standards of evidence shape scholars’ answers about women prophets. Although Calis focuses on Maryam, his article helps me examine a wider question: who gets counted when scholars describe an Islamic position?</w:t>
      </w:r>
    </w:p>
    <w:p>
      <w:pPr>
        <w:ind w:firstLine="720"/>
      </w:pPr>
      <w:r>
        <w:t>An opposing view is that Sunni scholars agreed against women prophets. Calis challenges this claim through evidence of support within the Ash‘ari school of Sunni theology. He writes, “Such a consensus simply does not exist” (Calis 2024, p. 8). This is a useful challenge, but its meaning needs care. Evidence of disagreement can weaken a claim of agreement without proving that a particular woman was a prophet. I would use the article to question how the debate is presented, not as a final ruling on prophethood.</w:t>
      </w:r>
    </w:p>
    <w:p>
      <w:pPr>
        <w:ind w:firstLine="720"/>
      </w:pPr>
      <w:r>
        <w:t>Calis compares Qur’anic commentary, theological writings, and modern studies. His central evidence is Ibn Furak’s account of al-Ash‘ari’s teachings. That account allows women prophets while limiting messengership to men. The distinction between nabī, or prophet, and rasūl, or messenger, is therefore central. Calis also examines later Ash‘ari and Maturidi discussions. He concludes that support for women prophets was not limited to Andalusia and that claims of a simple East–West divide need revision (Calis 2024, pp. 6–10). This gives my paper a broader range of positions to compare.</w:t>
      </w:r>
    </w:p>
    <w:p>
      <w:pPr>
        <w:ind w:firstLine="720"/>
      </w:pPr>
      <w:r>
        <w:t>The article’s strongest contribution is its challenge to an incomplete selection of scholars. A view can seem isolated if the sources supporting it are left out. Including more sources changes what needs explaining: the question becomes why scholars within Sunni traditions disagreed. However, finding respected supporters does not show how widely their position was accepted. I would separate evidence that a view existed from evidence that it was common. This distinction makes Calis useful without turning his correction into another broad claim about what all Sunni scholars believed.</w:t>
      </w:r>
    </w:p>
    <w:p>
      <w:pPr>
        <w:ind w:firstLine="720"/>
      </w:pPr>
      <w:r>
        <w:t>One limitation concerns how firmly Calis treats the attribution to al-Ash‘ari. He argues that there is “no basis to question the credibility” of Ibn Furak’s account, while acknowledging that the view does not appear in al-Ash‘ari’s surviving works (Calis 2024, p. 6). His reasons for trusting Ibn Furak deserve attention, but they do not make an indirect report identical to a surviving statement by al-Ash‘ari. The same page raises another problem: Calis cannot locate the cited report about four women prophets in hadith collections. That gap does not erase evidence of a historical belief. It does limit the report’s value as proof that Muhammad taught it.</w:t>
      </w:r>
    </w:p>
    <w:p>
      <w:pPr>
        <w:ind w:firstLine="720"/>
      </w:pPr>
      <w:r>
        <w:t>Calis’s treatment of silence also needs caution. He suggests that silent followers might have accepted their founder’s position (Calis 2024, p. 8). That is possible, but silence alone does not tell us whether a scholar agreed, had doubts, or saw no reason to discuss the issue. I would apply the same rule in both directions. Silence should not become evidence against women prophets in one argument and evidence for them in another. Direct statements and clear uses of an earlier view would provide a firmer basis for judging its acceptance.</w:t>
      </w:r>
    </w:p>
    <w:p>
      <w:pPr>
        <w:ind w:firstLine="720"/>
      </w:pPr>
      <w:r>
        <w:t>The article also makes me question how far Maryam’s case can explain women’s status generally. Calis separates this debate from scholars’ broader approaches to gender (Calis 2024, p. 9). I agree that a position on one question does not reveal everything about a scholar’s views of women. Still, a scriptural argument can contain assumptions about gender. My paper should examine those assumptions rather than rule them out. It should also distinguish accepting Maryam as an exceptional figure from accepting the possibility of prophethood for other women.</w:t>
      </w:r>
    </w:p>
    <w:p>
      <w:pPr>
        <w:ind w:firstLine="720"/>
      </w:pPr>
      <w:r>
        <w:t>Overall, Calis strengthens my paper by showing why the history of an interpretation matters alongside its scriptural evidence. His article supports a careful comparison of definitions, named supporters, and the sources used to establish their views. Its strongest result is a challenge to claims of agreement and simple regional divisions. It leaves room to test the underlying theological arguments. My conclusion should therefore explain both why scholars reached different answers and how strong the evidence for each answer actually is.</w:t>
      </w:r>
    </w:p>
    <w:p>
      <w:pPr>
        <w:pStyle w:val="Heading1"/>
        <w:spacing w:before="120"/>
      </w:pPr>
      <w:r>
        <w:t>Reference</w:t>
      </w:r>
    </w:p>
    <w:p>
      <w:pPr>
        <w:spacing w:line="240" w:lineRule="auto"/>
        <w:ind w:left="720" w:hanging="720"/>
      </w:pPr>
      <w:r>
        <w:rPr/>
        <w:t xml:space="preserve">Calis, Halim. 2024. “Mary’s Prophethood Reassessed: Overlooked Medieval Islamic Perspectives in Contemporary Scholarship.” </w:t>
      </w:r>
      <w:r>
        <w:rPr>
          <w:i/>
        </w:rPr>
        <w:t>Religions</w:t>
      </w:r>
      <w:r>
        <w:t xml:space="preserve"> 15(4): 461. https://doi.org/10.3390/rel15040461.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0" w:before="0" w:line="48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0" w:line="480" w:lineRule="auto"/>
      <w:outlineLvl w:val="0"/>
    </w:pPr>
    <w:rPr>
      <w:rFonts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0" w:line="480" w:lineRule="auto" w:before="0"/>
      <w:contextualSpacing/>
    </w:pPr>
    <w:rPr>
      <w:rFonts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Women and the Evidence for Prophethood</dc:title>
  <dc:subject/>
  <dc:creator>Muhammad Azan Rasul</dc:creator>
  <cp:keywords/>
  <dc:description>generated by python-docx</dc:description>
  <cp:lastModifiedBy/>
  <cp:revision>1</cp:revision>
  <dcterms:created xsi:type="dcterms:W3CDTF">2013-12-23T23:15:00Z</dcterms:created>
  <dcterms:modified xsi:type="dcterms:W3CDTF">2013-12-23T23:15:00Z</dcterms:modified>
  <cp:category/>
</cp:coreProperties>
</file>