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CCEC83D" w14:textId="77777777" w:rsidR="008F7D51" w:rsidRDefault="00000000">
      <w:pPr>
        <w:pStyle w:val="Titre1"/>
        <w:rPr>
          <w:color w:val="000000"/>
        </w:rPr>
      </w:pPr>
      <w:r>
        <w:rPr>
          <w:color w:val="000000"/>
        </w:rPr>
        <w:t>PARTIE A – La production d’électricité en France (2006-2022)</w:t>
      </w:r>
    </w:p>
    <w:p w14:paraId="33E49E6F" w14:textId="77777777" w:rsidR="008F7D51" w:rsidRDefault="00000000">
      <w:pPr>
        <w:rPr>
          <w:szCs w:val="28"/>
        </w:rPr>
      </w:pPr>
      <w:r>
        <w:rPr>
          <w:szCs w:val="28"/>
        </w:rPr>
        <w:t>Cette partie s’intéresse à la production d’électricité en France entre janvier 2006 et décembre 2022, à partir des données mensuelles publiées par SDES. Quatre sources principales ont été retenues : l’hydraulique, l’éolien, le solaire photovoltaïque et le nucléaire</w:t>
      </w:r>
    </w:p>
    <w:p w14:paraId="649ECCBB" w14:textId="77777777" w:rsidR="008F7D51" w:rsidRDefault="00000000">
      <w:pPr>
        <w:rPr>
          <w:szCs w:val="28"/>
        </w:rPr>
      </w:pPr>
      <w:r>
        <w:rPr>
          <w:szCs w:val="28"/>
        </w:rPr>
        <w:t>La problématique étudiée est la suivante : « Comment a évolué le mix de production électrique français au cours des dernières années, et quelle place occupent les énergies renouvelables face au nucléaire ? »</w:t>
      </w:r>
    </w:p>
    <w:p w14:paraId="3B211BEB" w14:textId="77777777" w:rsidR="008F7D51" w:rsidRDefault="00000000">
      <w:pPr>
        <w:rPr>
          <w:szCs w:val="28"/>
        </w:rPr>
      </w:pPr>
      <w:r>
        <w:rPr>
          <w:szCs w:val="28"/>
        </w:rPr>
        <w:t>Pour y répondre, nous avons réalisé 8 graphiques et calculé 11 indicateurs statistiques pour chaque source.</w:t>
      </w:r>
    </w:p>
    <w:p w14:paraId="0038D520" w14:textId="77777777" w:rsidR="008F7D51" w:rsidRDefault="008F7D51">
      <w:pPr>
        <w:rPr>
          <w:szCs w:val="28"/>
        </w:rPr>
      </w:pPr>
    </w:p>
    <w:p w14:paraId="1F54DC6E" w14:textId="77777777" w:rsidR="008F7D51" w:rsidRDefault="00000000">
      <w:pPr>
        <w:pStyle w:val="Titre2"/>
        <w:numPr>
          <w:ilvl w:val="0"/>
          <w:numId w:val="1"/>
        </w:numPr>
        <w:rPr>
          <w:color w:val="000000"/>
          <w:szCs w:val="36"/>
        </w:rPr>
      </w:pPr>
      <w:r>
        <w:rPr>
          <w:color w:val="000000"/>
          <w:szCs w:val="36"/>
        </w:rPr>
        <w:t>Présentation et traitement des données</w:t>
      </w:r>
    </w:p>
    <w:p w14:paraId="15993D75" w14:textId="77777777" w:rsidR="008F7D51" w:rsidRDefault="00000000">
      <w:pPr>
        <w:pStyle w:val="Titre3"/>
        <w:numPr>
          <w:ilvl w:val="1"/>
          <w:numId w:val="1"/>
        </w:numPr>
        <w:rPr>
          <w:color w:val="000000"/>
          <w:szCs w:val="32"/>
        </w:rPr>
      </w:pPr>
      <w:r>
        <w:rPr>
          <w:color w:val="000000"/>
          <w:szCs w:val="32"/>
        </w:rPr>
        <w:t xml:space="preserve"> Source et structure </w:t>
      </w:r>
    </w:p>
    <w:p w14:paraId="32D77D08" w14:textId="77777777" w:rsidR="008F7D51" w:rsidRDefault="00000000">
      <w:pPr>
        <w:pStyle w:val="Paragraphedeliste"/>
        <w:numPr>
          <w:ilvl w:val="0"/>
          <w:numId w:val="2"/>
        </w:numPr>
        <w:rPr>
          <w:szCs w:val="28"/>
        </w:rPr>
      </w:pPr>
      <w:r>
        <w:rPr>
          <w:szCs w:val="28"/>
        </w:rPr>
        <w:t>Données issues du fichier 4.2-Synthese-Electricite.csv</w:t>
      </w:r>
    </w:p>
    <w:p w14:paraId="0FE47958" w14:textId="77777777" w:rsidR="008F7D51" w:rsidRDefault="00000000">
      <w:pPr>
        <w:pStyle w:val="Paragraphedeliste"/>
        <w:numPr>
          <w:ilvl w:val="0"/>
          <w:numId w:val="2"/>
        </w:numPr>
        <w:rPr>
          <w:szCs w:val="28"/>
        </w:rPr>
      </w:pPr>
      <w:r>
        <w:rPr>
          <w:szCs w:val="28"/>
        </w:rPr>
        <w:t>Période couverte : de janvier 2006 à décembre 2022</w:t>
      </w:r>
    </w:p>
    <w:p w14:paraId="4B0FEBDA" w14:textId="77777777" w:rsidR="008F7D51" w:rsidRDefault="00000000">
      <w:pPr>
        <w:pStyle w:val="Paragraphedeliste"/>
        <w:numPr>
          <w:ilvl w:val="0"/>
          <w:numId w:val="2"/>
        </w:numPr>
        <w:rPr>
          <w:szCs w:val="28"/>
        </w:rPr>
      </w:pPr>
      <w:r>
        <w:rPr>
          <w:szCs w:val="28"/>
        </w:rPr>
        <w:t>Fréquence : mensuelle</w:t>
      </w:r>
    </w:p>
    <w:p w14:paraId="3CD7DD97" w14:textId="11853FFA" w:rsidR="008F7D51" w:rsidRDefault="00000000">
      <w:pPr>
        <w:pStyle w:val="Paragraphedeliste"/>
        <w:numPr>
          <w:ilvl w:val="0"/>
          <w:numId w:val="2"/>
        </w:numPr>
        <w:rPr>
          <w:szCs w:val="28"/>
        </w:rPr>
      </w:pPr>
      <w:r>
        <w:rPr>
          <w:szCs w:val="28"/>
        </w:rPr>
        <w:t>Nombre d’observations</w:t>
      </w:r>
      <w:r w:rsidR="006D4AEF">
        <w:rPr>
          <w:szCs w:val="28"/>
        </w:rPr>
        <w:t> :</w:t>
      </w:r>
      <w:r>
        <w:rPr>
          <w:szCs w:val="28"/>
        </w:rPr>
        <w:t xml:space="preserve"> 20</w:t>
      </w:r>
      <w:r w:rsidR="00BA6CF4">
        <w:rPr>
          <w:szCs w:val="28"/>
        </w:rPr>
        <w:t>4</w:t>
      </w:r>
      <w:r>
        <w:rPr>
          <w:szCs w:val="28"/>
        </w:rPr>
        <w:t xml:space="preserve"> lignes</w:t>
      </w:r>
    </w:p>
    <w:p w14:paraId="405CCA10" w14:textId="77777777" w:rsidR="008F7D51" w:rsidRDefault="00000000">
      <w:pPr>
        <w:pStyle w:val="Paragraphedeliste"/>
        <w:numPr>
          <w:ilvl w:val="0"/>
          <w:numId w:val="2"/>
        </w:numPr>
        <w:rPr>
          <w:szCs w:val="28"/>
        </w:rPr>
      </w:pPr>
      <w:r>
        <w:rPr>
          <w:szCs w:val="28"/>
        </w:rPr>
        <w:t>Variables retenues : Production hydraulique, éolienne, solaire, nucléaire (GWh)</w:t>
      </w:r>
    </w:p>
    <w:p w14:paraId="42C0AA58" w14:textId="77777777" w:rsidR="008F7D51" w:rsidRDefault="00000000">
      <w:pPr>
        <w:pStyle w:val="Titre3"/>
        <w:numPr>
          <w:ilvl w:val="1"/>
          <w:numId w:val="1"/>
        </w:numPr>
        <w:rPr>
          <w:color w:val="000000"/>
          <w:szCs w:val="32"/>
        </w:rPr>
      </w:pPr>
      <w:r>
        <w:rPr>
          <w:color w:val="000000"/>
          <w:szCs w:val="32"/>
        </w:rPr>
        <w:t xml:space="preserve"> Traitement effectué</w:t>
      </w:r>
    </w:p>
    <w:p w14:paraId="7453C656" w14:textId="77777777" w:rsidR="008F7D51" w:rsidRDefault="00000000">
      <w:pPr>
        <w:pStyle w:val="Paragraphedeliste"/>
        <w:numPr>
          <w:ilvl w:val="0"/>
          <w:numId w:val="3"/>
        </w:numPr>
      </w:pPr>
      <w:r>
        <w:rPr>
          <w:szCs w:val="28"/>
        </w:rPr>
        <w:t>Conversion du nucléaire : la donnée d’origine est en équivalent primaire (chaleur). Nous l’avons divisée par 3 pour obtenir l’équivalent en électricité produite (rendement de 33%).</w:t>
      </w:r>
    </w:p>
    <w:p w14:paraId="4CECBF50" w14:textId="77777777" w:rsidR="008F7D51" w:rsidRDefault="00000000">
      <w:pPr>
        <w:pStyle w:val="Paragraphedeliste"/>
        <w:numPr>
          <w:ilvl w:val="0"/>
          <w:numId w:val="3"/>
        </w:numPr>
      </w:pPr>
      <w:r>
        <w:rPr>
          <w:szCs w:val="28"/>
        </w:rPr>
        <w:t>Ajout des colonnes Année et Mois (extraction depuis Période).</w:t>
      </w:r>
    </w:p>
    <w:p w14:paraId="31743375" w14:textId="77777777" w:rsidR="008F7D51" w:rsidRDefault="00000000">
      <w:pPr>
        <w:pStyle w:val="Paragraphedeliste"/>
        <w:numPr>
          <w:ilvl w:val="0"/>
          <w:numId w:val="3"/>
        </w:numPr>
      </w:pPr>
      <w:r>
        <w:rPr>
          <w:szCs w:val="28"/>
        </w:rPr>
        <w:t xml:space="preserve"> Création des colonnes Total_EnR (hydro+éolien+solaire), Total_Production, Part_Nucléaire, Part_EnR. </w:t>
      </w:r>
    </w:p>
    <w:p w14:paraId="51E6EFB6" w14:textId="77777777" w:rsidR="008F7D51" w:rsidRDefault="008F7D51">
      <w:pPr>
        <w:ind w:start="18pt"/>
      </w:pPr>
    </w:p>
    <w:p w14:paraId="2386FBA6" w14:textId="77777777" w:rsidR="008F7D51" w:rsidRDefault="008F7D51">
      <w:pPr>
        <w:ind w:start="18pt"/>
        <w:rPr>
          <w:szCs w:val="28"/>
        </w:rPr>
      </w:pPr>
    </w:p>
    <w:p w14:paraId="0C70E3AD" w14:textId="77777777" w:rsidR="008F7D51" w:rsidRDefault="008F7D51">
      <w:pPr>
        <w:rPr>
          <w:szCs w:val="28"/>
        </w:rPr>
      </w:pPr>
    </w:p>
    <w:p w14:paraId="61DB2B8D" w14:textId="77777777" w:rsidR="008F7D51" w:rsidRDefault="00000000">
      <w:pPr>
        <w:pStyle w:val="Titre2"/>
        <w:numPr>
          <w:ilvl w:val="0"/>
          <w:numId w:val="1"/>
        </w:numPr>
        <w:rPr>
          <w:color w:val="000000"/>
          <w:szCs w:val="36"/>
        </w:rPr>
      </w:pPr>
      <w:r>
        <w:rPr>
          <w:color w:val="000000"/>
          <w:szCs w:val="36"/>
        </w:rPr>
        <w:lastRenderedPageBreak/>
        <w:t>Analyse statistique à une variable</w:t>
      </w:r>
    </w:p>
    <w:p w14:paraId="3022B9E8" w14:textId="77777777" w:rsidR="008F7D51" w:rsidRDefault="00000000">
      <w:pPr>
        <w:pStyle w:val="Titre3"/>
        <w:numPr>
          <w:ilvl w:val="1"/>
          <w:numId w:val="1"/>
        </w:numPr>
        <w:rPr>
          <w:color w:val="000000"/>
          <w:szCs w:val="32"/>
        </w:rPr>
      </w:pPr>
      <w:r>
        <w:rPr>
          <w:color w:val="000000"/>
          <w:szCs w:val="32"/>
        </w:rPr>
        <w:t xml:space="preserve"> Indicateurs par source</w:t>
      </w:r>
    </w:p>
    <w:p w14:paraId="3F42D285" w14:textId="77777777" w:rsidR="008F7D51" w:rsidRDefault="00000000">
      <w:pPr>
        <w:ind w:start="18pt"/>
      </w:pPr>
      <w:r>
        <w:rPr>
          <w:noProof/>
        </w:rPr>
        <w:drawing>
          <wp:inline distT="0" distB="0" distL="0" distR="0" wp14:anchorId="4D8205E8" wp14:editId="10296BD4">
            <wp:extent cx="4976292" cy="2560539"/>
            <wp:effectExtent l="0" t="0" r="0" b="0"/>
            <wp:docPr id="1202771991" name="Image 1"/>
            <wp:cNvGraphicFramePr/>
            <a:graphic xmlns:a="http://purl.oclc.org/ooxml/drawingml/main">
              <a:graphicData uri="http://purl.oclc.org/ooxml/drawingml/picture">
                <pic:pic xmlns:pic="http://purl.oclc.org/ooxml/drawingml/picture">
                  <pic:nvPicPr>
                    <pic:cNvPr id="0" name=""/>
                    <pic:cNvPicPr/>
                  </pic:nvPicPr>
                  <pic:blipFill>
                    <a:blip r:embed="rId7"/>
                    <a:stretch>
                      <a:fillRect/>
                    </a:stretch>
                  </pic:blipFill>
                  <pic:spPr>
                    <a:xfrm>
                      <a:off x="0" y="0"/>
                      <a:ext cx="4976292" cy="2560539"/>
                    </a:xfrm>
                    <a:prstGeom prst="rect">
                      <a:avLst/>
                    </a:prstGeom>
                    <a:noFill/>
                    <a:ln>
                      <a:noFill/>
                      <a:prstDash/>
                    </a:ln>
                  </pic:spPr>
                </pic:pic>
              </a:graphicData>
            </a:graphic>
          </wp:inline>
        </w:drawing>
      </w:r>
    </w:p>
    <w:p w14:paraId="01931EF9" w14:textId="77777777" w:rsidR="008F7D51" w:rsidRDefault="008F7D51">
      <w:pPr>
        <w:ind w:start="18pt"/>
      </w:pPr>
    </w:p>
    <w:p w14:paraId="0417E418" w14:textId="77777777" w:rsidR="008F7D51" w:rsidRDefault="00000000">
      <w:pPr>
        <w:rPr>
          <w:szCs w:val="28"/>
        </w:rPr>
      </w:pPr>
      <w:r>
        <w:rPr>
          <w:szCs w:val="28"/>
        </w:rPr>
        <w:t>Le nucléaire présente la moyenne mensuelle la plus élevée (~35000 GWh),</w:t>
      </w:r>
    </w:p>
    <w:p w14:paraId="23961196" w14:textId="77777777" w:rsidR="008F7D51" w:rsidRDefault="00000000">
      <w:pPr>
        <w:rPr>
          <w:szCs w:val="28"/>
        </w:rPr>
      </w:pPr>
      <w:r>
        <w:rPr>
          <w:szCs w:val="28"/>
        </w:rPr>
        <w:t>Confirmant son rôle dominant. L’hydraulique arrive en deuxième position (~5300 GWh) avec toutefois une grande dispersion (écart-type = 1366,03) liée à la variabilité saisonnière et hydrologique. L’éolien et le solaire restent plus modestes mais affichent les coefficients de variation les plus élevés, traduisant leur dépendance aux conditions météorologiques.</w:t>
      </w:r>
    </w:p>
    <w:p w14:paraId="4F2D748D" w14:textId="77777777" w:rsidR="008F7D51" w:rsidRDefault="00000000">
      <w:pPr>
        <w:pStyle w:val="Titre3"/>
        <w:numPr>
          <w:ilvl w:val="1"/>
          <w:numId w:val="1"/>
        </w:numPr>
        <w:ind w:start="21pt"/>
        <w:rPr>
          <w:color w:val="000000"/>
          <w:szCs w:val="32"/>
        </w:rPr>
      </w:pPr>
      <w:r>
        <w:rPr>
          <w:color w:val="000000"/>
          <w:szCs w:val="32"/>
        </w:rPr>
        <w:t xml:space="preserve"> Distribution saisonnière et annuelle des productions</w:t>
      </w:r>
    </w:p>
    <w:p w14:paraId="1DDD2399" w14:textId="77777777" w:rsidR="008F7D51" w:rsidRDefault="00000000">
      <w:pPr>
        <w:rPr>
          <w:szCs w:val="28"/>
        </w:rPr>
      </w:pPr>
      <w:r>
        <w:rPr>
          <w:szCs w:val="28"/>
        </w:rPr>
        <w:t>Pour étudier la répartition de la production électrique, nous avons construit un tableau croisé dynamique pour chacune des quatre sources, croisant les mois (lignes) et les années (colonnes). Cette double entrée permet d’identifier à la fois la saisonnalité propre à chaque source et son évolution dans le temps.</w:t>
      </w:r>
    </w:p>
    <w:p w14:paraId="47AB629F" w14:textId="77777777" w:rsidR="008F7D51" w:rsidRDefault="008F7D51">
      <w:pPr>
        <w:rPr>
          <w:szCs w:val="28"/>
        </w:rPr>
      </w:pPr>
    </w:p>
    <w:p w14:paraId="14F356E4" w14:textId="77777777" w:rsidR="008F7D51" w:rsidRDefault="008F7D51">
      <w:pPr>
        <w:rPr>
          <w:szCs w:val="28"/>
        </w:rPr>
      </w:pPr>
    </w:p>
    <w:p w14:paraId="5659163C" w14:textId="77777777" w:rsidR="008F7D51" w:rsidRDefault="008F7D51">
      <w:pPr>
        <w:rPr>
          <w:szCs w:val="28"/>
        </w:rPr>
      </w:pPr>
    </w:p>
    <w:p w14:paraId="32B6D87C" w14:textId="77777777" w:rsidR="008F7D51" w:rsidRDefault="008F7D51">
      <w:pPr>
        <w:rPr>
          <w:szCs w:val="28"/>
        </w:rPr>
      </w:pPr>
    </w:p>
    <w:p w14:paraId="2B9BDAF9" w14:textId="77777777" w:rsidR="008F7D51" w:rsidRDefault="008F7D51">
      <w:pPr>
        <w:rPr>
          <w:szCs w:val="28"/>
        </w:rPr>
      </w:pPr>
    </w:p>
    <w:p w14:paraId="152C58B4" w14:textId="77777777" w:rsidR="008F7D51" w:rsidRDefault="008F7D51">
      <w:pPr>
        <w:rPr>
          <w:szCs w:val="28"/>
        </w:rPr>
      </w:pPr>
    </w:p>
    <w:p w14:paraId="6153A77D" w14:textId="77777777" w:rsidR="008F7D51" w:rsidRDefault="00000000">
      <w:pPr>
        <w:pStyle w:val="Titre4"/>
        <w:numPr>
          <w:ilvl w:val="2"/>
          <w:numId w:val="1"/>
        </w:numPr>
        <w:rPr>
          <w:color w:val="000000"/>
          <w:szCs w:val="32"/>
        </w:rPr>
      </w:pPr>
      <w:r>
        <w:rPr>
          <w:color w:val="000000"/>
          <w:szCs w:val="32"/>
        </w:rPr>
        <w:lastRenderedPageBreak/>
        <w:t>Production nucléaire</w:t>
      </w:r>
    </w:p>
    <w:p w14:paraId="614D45CB" w14:textId="77777777" w:rsidR="008F7D51" w:rsidRDefault="008F7D51"/>
    <w:p w14:paraId="6C7B5F59" w14:textId="77777777" w:rsidR="008F7D51" w:rsidRDefault="00000000">
      <w:pPr>
        <w:ind w:firstLine="18pt"/>
        <w:rPr>
          <w:b/>
          <w:bCs/>
          <w:szCs w:val="28"/>
        </w:rPr>
      </w:pPr>
      <w:r>
        <w:rPr>
          <w:b/>
          <w:bCs/>
          <w:szCs w:val="28"/>
        </w:rPr>
        <w:t>Figure 1 – TCD de la production nucléaire mensuelle moyenne (2006-2022, en GWh)</w:t>
      </w:r>
    </w:p>
    <w:p w14:paraId="5405DB08" w14:textId="77777777" w:rsidR="008F7D51" w:rsidRDefault="00000000">
      <w:pPr>
        <w:pStyle w:val="Paragraphedeliste"/>
        <w:ind w:start="18pt"/>
      </w:pPr>
      <w:r>
        <w:rPr>
          <w:noProof/>
        </w:rPr>
        <w:drawing>
          <wp:inline distT="0" distB="0" distL="0" distR="0" wp14:anchorId="201A4FA0" wp14:editId="2C6D7C07">
            <wp:extent cx="5760720" cy="1010924"/>
            <wp:effectExtent l="0" t="0" r="0" b="0"/>
            <wp:docPr id="1747987332" name="Image 1"/>
            <wp:cNvGraphicFramePr/>
            <a:graphic xmlns:a="http://purl.oclc.org/ooxml/drawingml/main">
              <a:graphicData uri="http://purl.oclc.org/ooxml/drawingml/picture">
                <pic:pic xmlns:pic="http://purl.oclc.org/ooxml/drawingml/picture">
                  <pic:nvPicPr>
                    <pic:cNvPr id="0" name=""/>
                    <pic:cNvPicPr/>
                  </pic:nvPicPr>
                  <pic:blipFill>
                    <a:blip r:embed="rId8"/>
                    <a:stretch>
                      <a:fillRect/>
                    </a:stretch>
                  </pic:blipFill>
                  <pic:spPr>
                    <a:xfrm>
                      <a:off x="0" y="0"/>
                      <a:ext cx="5760720" cy="1010924"/>
                    </a:xfrm>
                    <a:prstGeom prst="rect">
                      <a:avLst/>
                    </a:prstGeom>
                    <a:noFill/>
                    <a:ln>
                      <a:noFill/>
                      <a:prstDash/>
                    </a:ln>
                  </pic:spPr>
                </pic:pic>
              </a:graphicData>
            </a:graphic>
          </wp:inline>
        </w:drawing>
      </w:r>
    </w:p>
    <w:p w14:paraId="7FB0ABED" w14:textId="77777777" w:rsidR="008F7D51" w:rsidRDefault="008F7D51">
      <w:pPr>
        <w:rPr>
          <w:szCs w:val="28"/>
        </w:rPr>
      </w:pPr>
    </w:p>
    <w:p w14:paraId="37C0A420" w14:textId="77777777" w:rsidR="008F7D51" w:rsidRDefault="00000000">
      <w:pPr>
        <w:rPr>
          <w:szCs w:val="28"/>
        </w:rPr>
      </w:pPr>
      <w:r>
        <w:rPr>
          <w:szCs w:val="28"/>
        </w:rPr>
        <w:t>Ce tableau met en évidence plusieurs phénomènes :</w:t>
      </w:r>
    </w:p>
    <w:p w14:paraId="7465315E" w14:textId="77777777" w:rsidR="008F7D51" w:rsidRDefault="00000000">
      <w:pPr>
        <w:pStyle w:val="Paragraphedeliste"/>
        <w:numPr>
          <w:ilvl w:val="0"/>
          <w:numId w:val="4"/>
        </w:numPr>
      </w:pPr>
      <w:r>
        <w:rPr>
          <w:b/>
          <w:bCs/>
          <w:szCs w:val="28"/>
        </w:rPr>
        <w:t>Saisonnalité marquée</w:t>
      </w:r>
      <w:r>
        <w:rPr>
          <w:szCs w:val="28"/>
        </w:rPr>
        <w:t xml:space="preserve"> : la production est plus forte en hiver (janvier : 129 908 GWh en moyenne en 2021, décembre : 120 233 GWh) et plus faible en été (août : ~92000 GWh), période durant laquelle les centrales sont mises à l’arrêt pour maintenance. </w:t>
      </w:r>
    </w:p>
    <w:p w14:paraId="6923E9DE" w14:textId="77777777" w:rsidR="008F7D51" w:rsidRDefault="00000000">
      <w:pPr>
        <w:pStyle w:val="Paragraphedeliste"/>
        <w:numPr>
          <w:ilvl w:val="0"/>
          <w:numId w:val="4"/>
        </w:numPr>
      </w:pPr>
      <w:r>
        <w:rPr>
          <w:b/>
          <w:bCs/>
          <w:szCs w:val="28"/>
        </w:rPr>
        <w:t>Tendance annuelle décroissante</w:t>
      </w:r>
      <w:r>
        <w:rPr>
          <w:szCs w:val="28"/>
        </w:rPr>
        <w:t> :  le total général passe de 113 700 GWh en moyenne en 2006 à 74 440 GWh en 2022, soit une baisse de 35%.</w:t>
      </w:r>
    </w:p>
    <w:p w14:paraId="21CFDA45" w14:textId="2BA9E911" w:rsidR="008F7D51" w:rsidRDefault="00000000">
      <w:pPr>
        <w:pStyle w:val="Paragraphedeliste"/>
        <w:numPr>
          <w:ilvl w:val="0"/>
          <w:numId w:val="4"/>
        </w:numPr>
      </w:pPr>
      <w:r>
        <w:rPr>
          <w:b/>
          <w:bCs/>
          <w:szCs w:val="28"/>
        </w:rPr>
        <w:t>Année 2022</w:t>
      </w:r>
      <w:r>
        <w:rPr>
          <w:szCs w:val="28"/>
        </w:rPr>
        <w:t xml:space="preserve"> : on observe une chute marquée (74 440 GWh) correspondant à la crise du </w:t>
      </w:r>
      <w:r w:rsidR="00A44BBB">
        <w:rPr>
          <w:szCs w:val="28"/>
        </w:rPr>
        <w:t>parc</w:t>
      </w:r>
      <w:r>
        <w:rPr>
          <w:szCs w:val="28"/>
        </w:rPr>
        <w:t xml:space="preserve"> nucléaire français (arrêts pour corrosion sous contrainte, maintenance reportée post-COVID).</w:t>
      </w:r>
    </w:p>
    <w:p w14:paraId="3DF53CC4" w14:textId="77777777" w:rsidR="008F7D51" w:rsidRDefault="00000000">
      <w:pPr>
        <w:pStyle w:val="Paragraphedeliste"/>
        <w:numPr>
          <w:ilvl w:val="0"/>
          <w:numId w:val="4"/>
        </w:numPr>
      </w:pPr>
      <w:r>
        <w:rPr>
          <w:b/>
          <w:bCs/>
          <w:szCs w:val="28"/>
        </w:rPr>
        <w:t>Année 2020</w:t>
      </w:r>
      <w:r>
        <w:rPr>
          <w:szCs w:val="28"/>
        </w:rPr>
        <w:t> : baisse visible en avril-mai (70000-90000 GWh) liée au confinement et à la baisse de la demande.</w:t>
      </w:r>
    </w:p>
    <w:p w14:paraId="042911C9" w14:textId="77777777" w:rsidR="008F7D51" w:rsidRDefault="00000000">
      <w:pPr>
        <w:pStyle w:val="Titre4"/>
        <w:numPr>
          <w:ilvl w:val="2"/>
          <w:numId w:val="1"/>
        </w:numPr>
        <w:rPr>
          <w:color w:val="000000"/>
          <w:szCs w:val="32"/>
        </w:rPr>
      </w:pPr>
      <w:r>
        <w:rPr>
          <w:color w:val="000000"/>
          <w:szCs w:val="32"/>
        </w:rPr>
        <w:t>Production hydraulique</w:t>
      </w:r>
    </w:p>
    <w:p w14:paraId="369BF2AF" w14:textId="77777777" w:rsidR="008F7D51" w:rsidRDefault="008F7D51"/>
    <w:p w14:paraId="17B9F2ED" w14:textId="77777777" w:rsidR="008F7D51" w:rsidRDefault="00000000">
      <w:pPr>
        <w:ind w:firstLine="18pt"/>
        <w:rPr>
          <w:b/>
          <w:bCs/>
          <w:szCs w:val="28"/>
        </w:rPr>
      </w:pPr>
      <w:r>
        <w:rPr>
          <w:b/>
          <w:bCs/>
          <w:szCs w:val="28"/>
        </w:rPr>
        <w:t>Figure 2 – TCD de la production hydraulique mensuelle moyenne (2006-2022, en GWh)</w:t>
      </w:r>
    </w:p>
    <w:p w14:paraId="53A92F49" w14:textId="77777777" w:rsidR="008F7D51" w:rsidRDefault="00000000">
      <w:pPr>
        <w:pStyle w:val="Paragraphedeliste"/>
        <w:ind w:start="18pt"/>
      </w:pPr>
      <w:r>
        <w:rPr>
          <w:noProof/>
        </w:rPr>
        <w:drawing>
          <wp:inline distT="0" distB="0" distL="0" distR="0" wp14:anchorId="7F3BD648" wp14:editId="35987BC6">
            <wp:extent cx="5760720" cy="1031242"/>
            <wp:effectExtent l="0" t="0" r="0" b="0"/>
            <wp:docPr id="1012103820" name="Image 1"/>
            <wp:cNvGraphicFramePr/>
            <a:graphic xmlns:a="http://purl.oclc.org/ooxml/drawingml/main">
              <a:graphicData uri="http://purl.oclc.org/ooxml/drawingml/picture">
                <pic:pic xmlns:pic="http://purl.oclc.org/ooxml/drawingml/picture">
                  <pic:nvPicPr>
                    <pic:cNvPr id="0" name=""/>
                    <pic:cNvPicPr/>
                  </pic:nvPicPr>
                  <pic:blipFill>
                    <a:blip r:embed="rId9"/>
                    <a:stretch>
                      <a:fillRect/>
                    </a:stretch>
                  </pic:blipFill>
                  <pic:spPr>
                    <a:xfrm>
                      <a:off x="0" y="0"/>
                      <a:ext cx="5760720" cy="1031242"/>
                    </a:xfrm>
                    <a:prstGeom prst="rect">
                      <a:avLst/>
                    </a:prstGeom>
                    <a:noFill/>
                    <a:ln>
                      <a:noFill/>
                      <a:prstDash/>
                    </a:ln>
                  </pic:spPr>
                </pic:pic>
              </a:graphicData>
            </a:graphic>
          </wp:inline>
        </w:drawing>
      </w:r>
    </w:p>
    <w:p w14:paraId="1C87DE69" w14:textId="77777777" w:rsidR="008F7D51" w:rsidRDefault="00000000">
      <w:pPr>
        <w:ind w:start="18pt"/>
        <w:rPr>
          <w:szCs w:val="28"/>
        </w:rPr>
      </w:pPr>
      <w:r>
        <w:rPr>
          <w:szCs w:val="28"/>
        </w:rPr>
        <w:t>Ce tableau met en évidence trois caractéristiques majeures de la production hydraulique française :</w:t>
      </w:r>
    </w:p>
    <w:p w14:paraId="236C2249" w14:textId="77777777" w:rsidR="008F7D51" w:rsidRDefault="00000000">
      <w:pPr>
        <w:pStyle w:val="Paragraphedeliste"/>
        <w:numPr>
          <w:ilvl w:val="0"/>
          <w:numId w:val="5"/>
        </w:numPr>
      </w:pPr>
      <w:r>
        <w:rPr>
          <w:b/>
          <w:bCs/>
          <w:szCs w:val="28"/>
        </w:rPr>
        <w:lastRenderedPageBreak/>
        <w:t>Une saisonnalité marquée par le ressource en eau</w:t>
      </w:r>
      <w:r>
        <w:rPr>
          <w:szCs w:val="28"/>
        </w:rPr>
        <w:t> : la production atteint son maximum au printemps, notamment en avril-mai (jusqu’à 7 938 GWh en mai 2017), période correspondant à la fonte des neiges dans les massifs montagneux et aux pluies printanières. À l’inverse, on observe un creux en septembre-octobre (souvent inférieur à 3500 GWh), période de basses eaux de fin été.</w:t>
      </w:r>
    </w:p>
    <w:p w14:paraId="066C1095" w14:textId="77777777" w:rsidR="008F7D51" w:rsidRDefault="00000000">
      <w:pPr>
        <w:pStyle w:val="Paragraphedeliste"/>
        <w:numPr>
          <w:ilvl w:val="0"/>
          <w:numId w:val="5"/>
        </w:numPr>
      </w:pPr>
      <w:r>
        <w:rPr>
          <w:b/>
          <w:bCs/>
          <w:szCs w:val="28"/>
        </w:rPr>
        <w:t>Une variabilité interannuelle importante </w:t>
      </w:r>
      <w:r>
        <w:rPr>
          <w:szCs w:val="28"/>
        </w:rPr>
        <w:t>:</w:t>
      </w:r>
      <w:r>
        <w:rPr>
          <w:b/>
          <w:bCs/>
          <w:szCs w:val="28"/>
        </w:rPr>
        <w:t xml:space="preserve"> </w:t>
      </w:r>
      <w:r>
        <w:rPr>
          <w:szCs w:val="28"/>
        </w:rPr>
        <w:t>contrairement au nucléaire, le total général varie fortement d’une année à l’autre (de 4257 GWh en 2022 à 6280 GWh en 2013). Cette variabilité est directement liée aux conditions hydrologiques (pluviométrie, enneigement). Les années 2011, 2017 et 2022 (sécheresse historique) apparaissent particulièrement faibles.</w:t>
      </w:r>
    </w:p>
    <w:p w14:paraId="7AC4D13C" w14:textId="77777777" w:rsidR="008F7D51" w:rsidRDefault="00000000">
      <w:pPr>
        <w:pStyle w:val="Paragraphedeliste"/>
        <w:numPr>
          <w:ilvl w:val="0"/>
          <w:numId w:val="5"/>
        </w:numPr>
      </w:pPr>
      <w:r>
        <w:rPr>
          <w:b/>
          <w:bCs/>
          <w:szCs w:val="28"/>
        </w:rPr>
        <w:t>Pas de tendance claire à la hausse ou à la baisse </w:t>
      </w:r>
      <w:r>
        <w:rPr>
          <w:szCs w:val="28"/>
        </w:rPr>
        <w:t>: la moyenne sur 17 ans reste relativement stable autour de 5 285 GWh, ce qui explique par le fait que le parc hydraulique français est mature (peu nouveaux barrages</w:t>
      </w:r>
      <w:r>
        <w:rPr>
          <w:b/>
          <w:bCs/>
          <w:szCs w:val="28"/>
        </w:rPr>
        <w:t xml:space="preserve"> </w:t>
      </w:r>
      <w:r>
        <w:rPr>
          <w:szCs w:val="28"/>
        </w:rPr>
        <w:t>construits sur la période).</w:t>
      </w:r>
    </w:p>
    <w:p w14:paraId="6B9BD1F9" w14:textId="77777777" w:rsidR="008F7D51" w:rsidRDefault="00000000">
      <w:pPr>
        <w:ind w:start="36pt"/>
        <w:rPr>
          <w:szCs w:val="28"/>
        </w:rPr>
      </w:pPr>
      <w:r>
        <w:rPr>
          <w:szCs w:val="28"/>
        </w:rPr>
        <w:t>Cette source apparaît donc comme une énergie renouvelable historique et stable structurellement, mais fortement dépendante du climat à court terme.</w:t>
      </w:r>
    </w:p>
    <w:p w14:paraId="53D31BF1" w14:textId="77777777" w:rsidR="008F7D51" w:rsidRDefault="008F7D51">
      <w:pPr>
        <w:ind w:start="70.80pt"/>
        <w:rPr>
          <w:color w:val="000000"/>
          <w:sz w:val="32"/>
          <w:szCs w:val="32"/>
        </w:rPr>
      </w:pPr>
    </w:p>
    <w:p w14:paraId="64E3C856" w14:textId="77777777" w:rsidR="008F7D51" w:rsidRDefault="00000000">
      <w:pPr>
        <w:pStyle w:val="Titre4"/>
        <w:numPr>
          <w:ilvl w:val="2"/>
          <w:numId w:val="1"/>
        </w:numPr>
        <w:rPr>
          <w:color w:val="000000"/>
          <w:szCs w:val="32"/>
        </w:rPr>
      </w:pPr>
      <w:r>
        <w:rPr>
          <w:color w:val="000000"/>
          <w:szCs w:val="32"/>
        </w:rPr>
        <w:t>Production éolienne</w:t>
      </w:r>
    </w:p>
    <w:p w14:paraId="118978A4" w14:textId="77777777" w:rsidR="008F7D51" w:rsidRPr="00703C5C" w:rsidRDefault="00000000">
      <w:pPr>
        <w:ind w:start="18pt"/>
        <w:rPr>
          <w:b/>
          <w:bCs/>
          <w:szCs w:val="28"/>
        </w:rPr>
      </w:pPr>
      <w:r w:rsidRPr="00703C5C">
        <w:rPr>
          <w:b/>
          <w:bCs/>
          <w:szCs w:val="28"/>
        </w:rPr>
        <w:t>Figure 3 – TCD de la production éolienne mensuelle moyenne (2006-2022, en GWh)</w:t>
      </w:r>
    </w:p>
    <w:p w14:paraId="61E5E68C" w14:textId="77777777" w:rsidR="008F7D51" w:rsidRDefault="00000000">
      <w:pPr>
        <w:ind w:start="18pt"/>
      </w:pPr>
      <w:r>
        <w:rPr>
          <w:noProof/>
          <w:szCs w:val="28"/>
        </w:rPr>
        <w:drawing>
          <wp:inline distT="0" distB="0" distL="0" distR="0" wp14:anchorId="35D118E5" wp14:editId="31B4EB59">
            <wp:extent cx="5760720" cy="1010283"/>
            <wp:effectExtent l="0" t="0" r="0" b="0"/>
            <wp:docPr id="893452053" name="Image 1"/>
            <wp:cNvGraphicFramePr/>
            <a:graphic xmlns:a="http://purl.oclc.org/ooxml/drawingml/main">
              <a:graphicData uri="http://purl.oclc.org/ooxml/drawingml/picture">
                <pic:pic xmlns:pic="http://purl.oclc.org/ooxml/drawingml/picture">
                  <pic:nvPicPr>
                    <pic:cNvPr id="0" name=""/>
                    <pic:cNvPicPr/>
                  </pic:nvPicPr>
                  <pic:blipFill>
                    <a:blip r:embed="rId10"/>
                    <a:stretch>
                      <a:fillRect/>
                    </a:stretch>
                  </pic:blipFill>
                  <pic:spPr>
                    <a:xfrm>
                      <a:off x="0" y="0"/>
                      <a:ext cx="5760720" cy="1010283"/>
                    </a:xfrm>
                    <a:prstGeom prst="rect">
                      <a:avLst/>
                    </a:prstGeom>
                    <a:noFill/>
                    <a:ln>
                      <a:noFill/>
                      <a:prstDash/>
                    </a:ln>
                  </pic:spPr>
                </pic:pic>
              </a:graphicData>
            </a:graphic>
          </wp:inline>
        </w:drawing>
      </w:r>
    </w:p>
    <w:p w14:paraId="4BCA60D3" w14:textId="77777777" w:rsidR="008F7D51" w:rsidRDefault="00000000">
      <w:pPr>
        <w:ind w:start="18pt"/>
        <w:rPr>
          <w:szCs w:val="28"/>
        </w:rPr>
      </w:pPr>
      <w:r>
        <w:rPr>
          <w:szCs w:val="28"/>
        </w:rPr>
        <w:t>Ce tableau fait apparaître les trois caractéristiques majeures de la production éolienne française :</w:t>
      </w:r>
    </w:p>
    <w:p w14:paraId="2DF161EF" w14:textId="653F87B1" w:rsidR="008F7D51" w:rsidRDefault="00000000">
      <w:pPr>
        <w:pStyle w:val="Paragraphedeliste"/>
        <w:numPr>
          <w:ilvl w:val="0"/>
          <w:numId w:val="6"/>
        </w:numPr>
      </w:pPr>
      <w:r>
        <w:rPr>
          <w:b/>
          <w:bCs/>
          <w:szCs w:val="28"/>
        </w:rPr>
        <w:t>Une croissance sur la période </w:t>
      </w:r>
      <w:r>
        <w:rPr>
          <w:szCs w:val="28"/>
        </w:rPr>
        <w:t>: le total général passe de 180 GWh en 2006 à 3169 GWh en 2021 (avec un pic à 3331 GWh en 2020), soit une multiplication par près de 1</w:t>
      </w:r>
      <w:r w:rsidR="00B00EF2">
        <w:rPr>
          <w:szCs w:val="28"/>
        </w:rPr>
        <w:t>7</w:t>
      </w:r>
      <w:r>
        <w:rPr>
          <w:szCs w:val="28"/>
        </w:rPr>
        <w:t xml:space="preserve"> en 15 ans. Cette explosion s’explique par le développement massif du parc éolien français, encouragé par les politiques de transition énergétique. La légère baisse en 2022 </w:t>
      </w:r>
      <w:r>
        <w:rPr>
          <w:szCs w:val="28"/>
        </w:rPr>
        <w:lastRenderedPageBreak/>
        <w:t>(1597 GWh sur le total général) s’explique probablement par une année peu venteuse plus que par un ralentissement du parc</w:t>
      </w:r>
    </w:p>
    <w:p w14:paraId="2046DB27" w14:textId="77777777" w:rsidR="008F7D51" w:rsidRDefault="00000000">
      <w:pPr>
        <w:pStyle w:val="Paragraphedeliste"/>
        <w:numPr>
          <w:ilvl w:val="0"/>
          <w:numId w:val="6"/>
        </w:numPr>
      </w:pPr>
      <w:r>
        <w:rPr>
          <w:b/>
          <w:bCs/>
          <w:szCs w:val="28"/>
        </w:rPr>
        <w:t>Une saisonnalité hivernal très marqué </w:t>
      </w:r>
      <w:r>
        <w:rPr>
          <w:szCs w:val="28"/>
        </w:rPr>
        <w:t>: la production est maximale en hiver, avec des valeurs souvent supérieures à 3000GWh sur les années récentes (ex : 5907 GWh en février 2020, 4715 GWh en décembre 2019). À l’inverse, en été constitue un creux net avec des valeurs souvent deux à trois fois plus faible. Cette saisonnalité est cohérente avec le régime des vents en France, plus forts en saison froide.</w:t>
      </w:r>
    </w:p>
    <w:p w14:paraId="59522C07" w14:textId="77777777" w:rsidR="008F7D51" w:rsidRDefault="00000000">
      <w:pPr>
        <w:pStyle w:val="Paragraphedeliste"/>
        <w:numPr>
          <w:ilvl w:val="0"/>
          <w:numId w:val="6"/>
        </w:numPr>
      </w:pPr>
      <w:r>
        <w:rPr>
          <w:b/>
          <w:bCs/>
          <w:szCs w:val="28"/>
        </w:rPr>
        <w:t>Une complémentarité avec le solaire </w:t>
      </w:r>
      <w:r>
        <w:rPr>
          <w:szCs w:val="28"/>
        </w:rPr>
        <w:t>: l’éolien produit beaucoup en hiver, quant à la demande est forte (chauffage) et quand le solaire et à son minimum. Cette complémentarité est un ajout majeur pour la stabilité du mix renouvelable.</w:t>
      </w:r>
    </w:p>
    <w:p w14:paraId="406FDF9C" w14:textId="77777777" w:rsidR="008F7D51" w:rsidRDefault="00000000">
      <w:pPr>
        <w:ind w:start="36pt"/>
        <w:rPr>
          <w:szCs w:val="28"/>
        </w:rPr>
      </w:pPr>
      <w:r>
        <w:rPr>
          <w:szCs w:val="28"/>
        </w:rPr>
        <w:t>L’éolien apparaît donc comme la source dont la dynamique de croissance est la plus forte sur la période étudiée, tout en présentant un forte dépendance aux conditions météorologique d’une année à l’autre.</w:t>
      </w:r>
    </w:p>
    <w:p w14:paraId="1EE24010" w14:textId="77777777" w:rsidR="008F7D51" w:rsidRDefault="008F7D51">
      <w:pPr>
        <w:ind w:start="36pt"/>
        <w:rPr>
          <w:szCs w:val="28"/>
        </w:rPr>
      </w:pPr>
    </w:p>
    <w:p w14:paraId="68C057DD" w14:textId="77777777" w:rsidR="008F7D51" w:rsidRDefault="00000000">
      <w:pPr>
        <w:pStyle w:val="Titre4"/>
        <w:numPr>
          <w:ilvl w:val="2"/>
          <w:numId w:val="1"/>
        </w:numPr>
        <w:rPr>
          <w:color w:val="000000"/>
          <w:szCs w:val="32"/>
        </w:rPr>
      </w:pPr>
      <w:r>
        <w:rPr>
          <w:color w:val="000000"/>
          <w:szCs w:val="32"/>
        </w:rPr>
        <w:t>Production solaire</w:t>
      </w:r>
    </w:p>
    <w:p w14:paraId="35F7A003" w14:textId="77777777" w:rsidR="008F7D51" w:rsidRPr="003508CD" w:rsidRDefault="00000000">
      <w:pPr>
        <w:ind w:start="18pt"/>
        <w:rPr>
          <w:b/>
          <w:bCs/>
          <w:szCs w:val="28"/>
        </w:rPr>
      </w:pPr>
      <w:r w:rsidRPr="003508CD">
        <w:rPr>
          <w:b/>
          <w:bCs/>
          <w:szCs w:val="28"/>
        </w:rPr>
        <w:t>Figure 4 – TCD de la production solaire mensuelle moyenne (2011-2022, en GWh)</w:t>
      </w:r>
    </w:p>
    <w:p w14:paraId="77C26E0D" w14:textId="77777777" w:rsidR="008F7D51" w:rsidRDefault="00000000">
      <w:pPr>
        <w:ind w:start="18pt"/>
      </w:pPr>
      <w:r>
        <w:rPr>
          <w:noProof/>
          <w:szCs w:val="28"/>
        </w:rPr>
        <w:drawing>
          <wp:inline distT="0" distB="0" distL="0" distR="0" wp14:anchorId="04B58D3A" wp14:editId="43F7A005">
            <wp:extent cx="5760720" cy="1256669"/>
            <wp:effectExtent l="0" t="0" r="0" b="631"/>
            <wp:docPr id="1135744120" name="Image 1"/>
            <wp:cNvGraphicFramePr/>
            <a:graphic xmlns:a="http://purl.oclc.org/ooxml/drawingml/main">
              <a:graphicData uri="http://purl.oclc.org/ooxml/drawingml/picture">
                <pic:pic xmlns:pic="http://purl.oclc.org/ooxml/drawingml/picture">
                  <pic:nvPicPr>
                    <pic:cNvPr id="0" name=""/>
                    <pic:cNvPicPr/>
                  </pic:nvPicPr>
                  <pic:blipFill>
                    <a:blip r:embed="rId11"/>
                    <a:stretch>
                      <a:fillRect/>
                    </a:stretch>
                  </pic:blipFill>
                  <pic:spPr>
                    <a:xfrm>
                      <a:off x="0" y="0"/>
                      <a:ext cx="5760720" cy="1256669"/>
                    </a:xfrm>
                    <a:prstGeom prst="rect">
                      <a:avLst/>
                    </a:prstGeom>
                    <a:noFill/>
                    <a:ln>
                      <a:noFill/>
                      <a:prstDash/>
                    </a:ln>
                  </pic:spPr>
                </pic:pic>
              </a:graphicData>
            </a:graphic>
          </wp:inline>
        </w:drawing>
      </w:r>
    </w:p>
    <w:p w14:paraId="7904D631" w14:textId="77777777" w:rsidR="008F7D51" w:rsidRDefault="00000000">
      <w:pPr>
        <w:rPr>
          <w:szCs w:val="28"/>
        </w:rPr>
      </w:pPr>
      <w:r>
        <w:rPr>
          <w:szCs w:val="28"/>
        </w:rPr>
        <w:tab/>
        <w:t>Ce tableau illustre l’émergence récente du solaire photovoltaïque dans le mix électrique français :</w:t>
      </w:r>
    </w:p>
    <w:p w14:paraId="4999FE2D" w14:textId="77777777" w:rsidR="008F7D51" w:rsidRDefault="00000000">
      <w:pPr>
        <w:pStyle w:val="Paragraphedeliste"/>
        <w:numPr>
          <w:ilvl w:val="0"/>
          <w:numId w:val="7"/>
        </w:numPr>
      </w:pPr>
      <w:r>
        <w:rPr>
          <w:b/>
          <w:bCs/>
          <w:szCs w:val="28"/>
        </w:rPr>
        <w:t>Un démarrage tardif </w:t>
      </w:r>
      <w:r>
        <w:rPr>
          <w:szCs w:val="28"/>
        </w:rPr>
        <w:t>: la production solaire est strictement nulle entre 2006-2010, ce qui explique l’absence de valeurs sur ces colonnes. Le développement effectif débute en 2011, suite à la mise en place des politiques publiques de soutien aux énergies renouvelables (Grenelle de l’environnement, tarifs de rachat). Pour cette raison, l’analyse a été restreinte à la période 2011-2022.</w:t>
      </w:r>
    </w:p>
    <w:p w14:paraId="33B8DF3D" w14:textId="77777777" w:rsidR="008F7D51" w:rsidRDefault="00000000">
      <w:pPr>
        <w:pStyle w:val="Paragraphedeliste"/>
        <w:numPr>
          <w:ilvl w:val="0"/>
          <w:numId w:val="7"/>
        </w:numPr>
      </w:pPr>
      <w:r>
        <w:rPr>
          <w:b/>
          <w:bCs/>
          <w:szCs w:val="28"/>
        </w:rPr>
        <w:t>Une croissance régulière et continue</w:t>
      </w:r>
      <w:r>
        <w:rPr>
          <w:szCs w:val="28"/>
        </w:rPr>
        <w:t xml:space="preserve"> : le total général passe de 161 GWh en 2011 à 1583 GWh en 2022, soit une multiplication par près de 10 en </w:t>
      </w:r>
      <w:r>
        <w:rPr>
          <w:szCs w:val="28"/>
        </w:rPr>
        <w:lastRenderedPageBreak/>
        <w:t>11 ans. Cette croissance reflète l’augmentation progressive du parc photovoltaïque installé en France.</w:t>
      </w:r>
    </w:p>
    <w:p w14:paraId="5658E74C" w14:textId="77777777" w:rsidR="008F7D51" w:rsidRDefault="00000000">
      <w:pPr>
        <w:pStyle w:val="Paragraphedeliste"/>
        <w:numPr>
          <w:ilvl w:val="0"/>
          <w:numId w:val="7"/>
        </w:numPr>
      </w:pPr>
      <w:r>
        <w:rPr>
          <w:b/>
          <w:bCs/>
          <w:szCs w:val="28"/>
        </w:rPr>
        <w:t>Une saisonnalité estival marquée</w:t>
      </w:r>
      <w:r>
        <w:rPr>
          <w:szCs w:val="28"/>
        </w:rPr>
        <w:t xml:space="preserve"> (opposée à l’éolien) : la production est maximale en été, avec des valeurs souvent 2 à 3 fois supérieurs à celle de l’hiver. Par exemple en 2022 : 2592 GWh en juillet contre 470 GWh en février. Cette saisonnalité est directement liée à l’ensoleillement et à la durée du jour.</w:t>
      </w:r>
    </w:p>
    <w:p w14:paraId="2BAE3B08" w14:textId="77777777" w:rsidR="008F7D51" w:rsidRDefault="00000000">
      <w:pPr>
        <w:ind w:start="18pt"/>
        <w:rPr>
          <w:szCs w:val="28"/>
        </w:rPr>
      </w:pPr>
      <w:r>
        <w:rPr>
          <w:szCs w:val="28"/>
        </w:rPr>
        <w:t>Le solaire apparaît donc comme une source jeune mais en pleine expansion, dont la production complète idéalement celle de l’éolien (saisonnalité inversée), renforçant ainsi la cohérence saisonnière du mix renouvelable français.</w:t>
      </w:r>
    </w:p>
    <w:p w14:paraId="561B7560" w14:textId="77777777" w:rsidR="008F7D51" w:rsidRDefault="00000000">
      <w:pPr>
        <w:rPr>
          <w:szCs w:val="28"/>
        </w:rPr>
      </w:pPr>
      <w:r>
        <w:rPr>
          <w:szCs w:val="28"/>
        </w:rPr>
        <w:t>Les quatre TCD permettent de dresser une typologie des sources de production selon deux critères : la saisonnalité et la dynamique d’évolution.</w:t>
      </w:r>
    </w:p>
    <w:tbl>
      <w:tblPr>
        <w:tblW w:w="453.10pt" w:type="dxa"/>
        <w:tblCellMar>
          <w:start w:w="0.50pt" w:type="dxa"/>
          <w:end w:w="0.50pt" w:type="dxa"/>
        </w:tblCellMar>
        <w:tblLook w:firstRow="0" w:lastRow="0" w:firstColumn="0" w:lastColumn="0" w:noHBand="0" w:noVBand="0"/>
      </w:tblPr>
      <w:tblGrid>
        <w:gridCol w:w="1634"/>
        <w:gridCol w:w="3945"/>
        <w:gridCol w:w="3483"/>
      </w:tblGrid>
      <w:tr w:rsidR="008F7D51" w14:paraId="0786AC45" w14:textId="77777777">
        <w:tc>
          <w:tcPr>
            <w:tcW w:w="81.70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7672CB0C" w14:textId="77777777" w:rsidR="008F7D51" w:rsidRDefault="00000000">
            <w:pPr>
              <w:rPr>
                <w:b/>
                <w:bCs/>
                <w:szCs w:val="28"/>
              </w:rPr>
            </w:pPr>
            <w:r>
              <w:rPr>
                <w:b/>
                <w:bCs/>
                <w:szCs w:val="28"/>
              </w:rPr>
              <w:t>Source</w:t>
            </w:r>
          </w:p>
        </w:tc>
        <w:tc>
          <w:tcPr>
            <w:tcW w:w="197.2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2CE49022" w14:textId="77777777" w:rsidR="008F7D51" w:rsidRDefault="00000000">
            <w:pPr>
              <w:rPr>
                <w:b/>
                <w:bCs/>
                <w:szCs w:val="28"/>
              </w:rPr>
            </w:pPr>
            <w:r>
              <w:rPr>
                <w:b/>
                <w:bCs/>
                <w:szCs w:val="28"/>
              </w:rPr>
              <w:t>Saisonnalité</w:t>
            </w:r>
          </w:p>
        </w:tc>
        <w:tc>
          <w:tcPr>
            <w:tcW w:w="174.1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577A3D18" w14:textId="77777777" w:rsidR="008F7D51" w:rsidRDefault="00000000">
            <w:pPr>
              <w:rPr>
                <w:b/>
                <w:bCs/>
                <w:szCs w:val="28"/>
              </w:rPr>
            </w:pPr>
            <w:r>
              <w:rPr>
                <w:b/>
                <w:bCs/>
                <w:szCs w:val="28"/>
              </w:rPr>
              <w:t>Évolution 2006-2022</w:t>
            </w:r>
          </w:p>
        </w:tc>
      </w:tr>
      <w:tr w:rsidR="008F7D51" w14:paraId="554B72BB" w14:textId="77777777">
        <w:tc>
          <w:tcPr>
            <w:tcW w:w="81.70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548B91C8" w14:textId="77777777" w:rsidR="008F7D51" w:rsidRDefault="00000000">
            <w:r>
              <w:rPr>
                <w:b/>
                <w:bCs/>
                <w:szCs w:val="28"/>
              </w:rPr>
              <w:t>Nucléaire</w:t>
            </w:r>
          </w:p>
        </w:tc>
        <w:tc>
          <w:tcPr>
            <w:tcW w:w="197.2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096480C6" w14:textId="77777777" w:rsidR="008F7D51" w:rsidRDefault="00000000">
            <w:pPr>
              <w:rPr>
                <w:szCs w:val="28"/>
              </w:rPr>
            </w:pPr>
            <w:r>
              <w:rPr>
                <w:szCs w:val="28"/>
              </w:rPr>
              <w:t>Pic hiver, creux été (maintenance)</w:t>
            </w:r>
          </w:p>
        </w:tc>
        <w:tc>
          <w:tcPr>
            <w:tcW w:w="174.1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6FACDA9C" w14:textId="77777777" w:rsidR="008F7D51" w:rsidRDefault="00000000">
            <w:pPr>
              <w:rPr>
                <w:szCs w:val="28"/>
              </w:rPr>
            </w:pPr>
            <w:r>
              <w:rPr>
                <w:szCs w:val="28"/>
              </w:rPr>
              <w:t>Baisse (-35%)</w:t>
            </w:r>
          </w:p>
        </w:tc>
      </w:tr>
      <w:tr w:rsidR="008F7D51" w14:paraId="622F0EAD" w14:textId="77777777">
        <w:tc>
          <w:tcPr>
            <w:tcW w:w="81.70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4A7D44AD" w14:textId="77777777" w:rsidR="008F7D51" w:rsidRDefault="00000000">
            <w:r>
              <w:rPr>
                <w:b/>
                <w:bCs/>
                <w:szCs w:val="28"/>
              </w:rPr>
              <w:t>Hydraulique</w:t>
            </w:r>
          </w:p>
        </w:tc>
        <w:tc>
          <w:tcPr>
            <w:tcW w:w="197.2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42C08B65" w14:textId="77777777" w:rsidR="008F7D51" w:rsidRDefault="00000000">
            <w:pPr>
              <w:rPr>
                <w:szCs w:val="28"/>
              </w:rPr>
            </w:pPr>
            <w:r>
              <w:rPr>
                <w:szCs w:val="28"/>
              </w:rPr>
              <w:t>Pic printemps (fonte)</w:t>
            </w:r>
          </w:p>
        </w:tc>
        <w:tc>
          <w:tcPr>
            <w:tcW w:w="174.1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6FB086C4" w14:textId="77777777" w:rsidR="008F7D51" w:rsidRDefault="00000000">
            <w:pPr>
              <w:rPr>
                <w:szCs w:val="28"/>
              </w:rPr>
            </w:pPr>
            <w:r>
              <w:rPr>
                <w:szCs w:val="28"/>
              </w:rPr>
              <w:t>Stable, dépendant climat</w:t>
            </w:r>
          </w:p>
        </w:tc>
      </w:tr>
      <w:tr w:rsidR="008F7D51" w14:paraId="48D165E0" w14:textId="77777777">
        <w:tc>
          <w:tcPr>
            <w:tcW w:w="81.70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4252FE41" w14:textId="77777777" w:rsidR="008F7D51" w:rsidRDefault="00000000">
            <w:r>
              <w:rPr>
                <w:b/>
                <w:bCs/>
                <w:szCs w:val="28"/>
              </w:rPr>
              <w:t>Éolien</w:t>
            </w:r>
          </w:p>
        </w:tc>
        <w:tc>
          <w:tcPr>
            <w:tcW w:w="197.2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04F0E3AD" w14:textId="77777777" w:rsidR="008F7D51" w:rsidRDefault="00000000">
            <w:pPr>
              <w:rPr>
                <w:szCs w:val="28"/>
              </w:rPr>
            </w:pPr>
            <w:r>
              <w:rPr>
                <w:szCs w:val="28"/>
              </w:rPr>
              <w:t>Pic hiver</w:t>
            </w:r>
          </w:p>
        </w:tc>
        <w:tc>
          <w:tcPr>
            <w:tcW w:w="174.1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285B1215" w14:textId="77777777" w:rsidR="008F7D51" w:rsidRDefault="00000000">
            <w:pPr>
              <w:rPr>
                <w:szCs w:val="28"/>
              </w:rPr>
            </w:pPr>
            <w:r>
              <w:rPr>
                <w:szCs w:val="28"/>
              </w:rPr>
              <w:t>Très forte croissance (×17)</w:t>
            </w:r>
          </w:p>
        </w:tc>
      </w:tr>
      <w:tr w:rsidR="008F7D51" w14:paraId="40453565" w14:textId="77777777">
        <w:tc>
          <w:tcPr>
            <w:tcW w:w="81.70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243E2FB3" w14:textId="77777777" w:rsidR="008F7D51" w:rsidRDefault="00000000">
            <w:r>
              <w:rPr>
                <w:b/>
                <w:bCs/>
                <w:szCs w:val="28"/>
              </w:rPr>
              <w:t>Solaire</w:t>
            </w:r>
          </w:p>
        </w:tc>
        <w:tc>
          <w:tcPr>
            <w:tcW w:w="197.2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00B89A08" w14:textId="77777777" w:rsidR="008F7D51" w:rsidRDefault="00000000">
            <w:pPr>
              <w:rPr>
                <w:szCs w:val="28"/>
              </w:rPr>
            </w:pPr>
            <w:r>
              <w:rPr>
                <w:szCs w:val="28"/>
              </w:rPr>
              <w:t>Pic été</w:t>
            </w:r>
          </w:p>
        </w:tc>
        <w:tc>
          <w:tcPr>
            <w:tcW w:w="174.1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44F9DAA1" w14:textId="77777777" w:rsidR="008F7D51" w:rsidRDefault="00000000">
            <w:pPr>
              <w:rPr>
                <w:szCs w:val="28"/>
              </w:rPr>
            </w:pPr>
            <w:r>
              <w:rPr>
                <w:szCs w:val="28"/>
              </w:rPr>
              <w:t>Émergence depuis 2011 (×10)</w:t>
            </w:r>
          </w:p>
        </w:tc>
      </w:tr>
    </w:tbl>
    <w:p w14:paraId="3A1E4001" w14:textId="77777777" w:rsidR="008F7D51" w:rsidRDefault="008F7D51">
      <w:pPr>
        <w:rPr>
          <w:szCs w:val="28"/>
        </w:rPr>
      </w:pPr>
    </w:p>
    <w:p w14:paraId="128BEB0D" w14:textId="57B13D8E" w:rsidR="008F7D51" w:rsidRDefault="00000000" w:rsidP="00703C5C">
      <w:pPr>
        <w:rPr>
          <w:szCs w:val="28"/>
        </w:rPr>
      </w:pPr>
      <w:r>
        <w:rPr>
          <w:szCs w:val="28"/>
        </w:rPr>
        <w:t>On observe donc ainsi une complémentarité saisonnière entre l’éolien (hiver) et le solaire (été), ainsi qu’entre le nucléaire (hiver) et l’hydraulique (printemps). Cette diversité est un atout pour la sécurité d’approvisionnement du système électrique français.</w:t>
      </w:r>
    </w:p>
    <w:p w14:paraId="1CB0ACE0" w14:textId="77777777" w:rsidR="00703C5C" w:rsidRPr="00703C5C" w:rsidRDefault="00703C5C" w:rsidP="00703C5C">
      <w:pPr>
        <w:rPr>
          <w:color w:val="000000" w:themeColor="text1"/>
          <w:szCs w:val="28"/>
        </w:rPr>
      </w:pPr>
    </w:p>
    <w:p w14:paraId="24AD0703" w14:textId="49421A9C" w:rsidR="00703C5C" w:rsidRPr="00A44BBB" w:rsidRDefault="00703C5C" w:rsidP="00703C5C">
      <w:pPr>
        <w:pStyle w:val="Titre2"/>
        <w:numPr>
          <w:ilvl w:val="0"/>
          <w:numId w:val="1"/>
        </w:numPr>
        <w:rPr>
          <w:szCs w:val="36"/>
        </w:rPr>
      </w:pPr>
      <w:r w:rsidRPr="00A44BBB">
        <w:rPr>
          <w:szCs w:val="36"/>
        </w:rPr>
        <w:t>Évolution temporel de la production électrique</w:t>
      </w:r>
    </w:p>
    <w:p w14:paraId="481F96AB" w14:textId="01615890" w:rsidR="00A44BBB" w:rsidRDefault="00A44BBB" w:rsidP="00A44BBB">
      <w:pPr>
        <w:pStyle w:val="Titre3"/>
        <w:numPr>
          <w:ilvl w:val="1"/>
          <w:numId w:val="1"/>
        </w:numPr>
        <w:rPr>
          <w:szCs w:val="32"/>
        </w:rPr>
      </w:pPr>
      <w:r w:rsidRPr="00A44BBB">
        <w:rPr>
          <w:szCs w:val="32"/>
        </w:rPr>
        <w:t>Évolution mensuelle des énergies renouvelables (Hydro, Éolien, Solaire)</w:t>
      </w:r>
    </w:p>
    <w:p w14:paraId="1D207626" w14:textId="29CFD178" w:rsidR="00A44BBB" w:rsidRPr="0081659E" w:rsidRDefault="00A44BBB" w:rsidP="00A44BBB">
      <w:pPr>
        <w:pStyle w:val="Paragraphedeliste"/>
        <w:ind w:start="39pt"/>
        <w:rPr>
          <w:b/>
          <w:bCs/>
          <w:szCs w:val="28"/>
        </w:rPr>
      </w:pPr>
      <w:r w:rsidRPr="0081659E">
        <w:rPr>
          <w:b/>
          <w:bCs/>
          <w:szCs w:val="28"/>
        </w:rPr>
        <w:t>Figure 1 – Évolution mensuelle de la production hydraulique, éolienne et solaire en France (2006-2022, en GWh)</w:t>
      </w:r>
    </w:p>
    <w:p w14:paraId="38EB538F" w14:textId="453AD453" w:rsidR="00A44BBB" w:rsidRDefault="006331E8" w:rsidP="00A44BBB">
      <w:pPr>
        <w:pStyle w:val="Paragraphedeliste"/>
        <w:ind w:start="39pt"/>
        <w:rPr>
          <w:szCs w:val="28"/>
        </w:rPr>
      </w:pPr>
      <w:r w:rsidRPr="006331E8">
        <w:rPr>
          <w:noProof/>
          <w:szCs w:val="28"/>
        </w:rPr>
        <w:lastRenderedPageBreak/>
        <w:drawing>
          <wp:inline distT="0" distB="0" distL="0" distR="0" wp14:anchorId="7CF049CB" wp14:editId="31F8AEE0">
            <wp:extent cx="5760720" cy="2268220"/>
            <wp:effectExtent l="0" t="0" r="0" b="0"/>
            <wp:docPr id="1942684317"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684317" name=""/>
                    <pic:cNvPicPr/>
                  </pic:nvPicPr>
                  <pic:blipFill>
                    <a:blip r:embed="rId12"/>
                    <a:stretch>
                      <a:fillRect/>
                    </a:stretch>
                  </pic:blipFill>
                  <pic:spPr>
                    <a:xfrm>
                      <a:off x="0" y="0"/>
                      <a:ext cx="5760720" cy="2268220"/>
                    </a:xfrm>
                    <a:prstGeom prst="rect">
                      <a:avLst/>
                    </a:prstGeom>
                  </pic:spPr>
                </pic:pic>
              </a:graphicData>
            </a:graphic>
          </wp:inline>
        </w:drawing>
      </w:r>
    </w:p>
    <w:p w14:paraId="175D4F87" w14:textId="5E3186B4" w:rsidR="008923DA" w:rsidRPr="008923DA" w:rsidRDefault="006331E8" w:rsidP="008923DA">
      <w:pPr>
        <w:pStyle w:val="Paragraphedeliste"/>
        <w:ind w:start="39pt"/>
        <w:rPr>
          <w:szCs w:val="28"/>
        </w:rPr>
      </w:pPr>
      <w:r>
        <w:rPr>
          <w:szCs w:val="28"/>
        </w:rPr>
        <w:t xml:space="preserve">Ce graphique superpose l’évolution mensuelle des trois sources </w:t>
      </w:r>
      <w:r w:rsidR="008923DA">
        <w:rPr>
          <w:szCs w:val="28"/>
        </w:rPr>
        <w:t>renouvelables sur</w:t>
      </w:r>
      <w:r>
        <w:rPr>
          <w:szCs w:val="28"/>
        </w:rPr>
        <w:t xml:space="preserve"> 17 ans, ce qui permet de visualiser simultanément les saisonnalités et les dynamique à long terme</w:t>
      </w:r>
      <w:r w:rsidR="008923DA">
        <w:rPr>
          <w:szCs w:val="28"/>
        </w:rPr>
        <w:t>.</w:t>
      </w:r>
    </w:p>
    <w:p w14:paraId="1F6BBF89" w14:textId="77777777" w:rsidR="006331E8" w:rsidRPr="006331E8" w:rsidRDefault="006331E8" w:rsidP="006331E8">
      <w:pPr>
        <w:pStyle w:val="Paragraphedeliste"/>
        <w:numPr>
          <w:ilvl w:val="0"/>
          <w:numId w:val="8"/>
        </w:numPr>
        <w:rPr>
          <w:szCs w:val="28"/>
        </w:rPr>
      </w:pPr>
      <w:r w:rsidRPr="006331E8">
        <w:rPr>
          <w:b/>
          <w:bCs/>
          <w:szCs w:val="28"/>
        </w:rPr>
        <w:t>L'hydraulique</w:t>
      </w:r>
      <w:r w:rsidRPr="006331E8">
        <w:rPr>
          <w:szCs w:val="28"/>
        </w:rPr>
        <w:t xml:space="preserve"> (courbe bleue) présente des </w:t>
      </w:r>
      <w:r w:rsidRPr="006331E8">
        <w:rPr>
          <w:b/>
          <w:bCs/>
          <w:szCs w:val="28"/>
        </w:rPr>
        <w:t>oscillations régulières</w:t>
      </w:r>
      <w:r w:rsidRPr="006331E8">
        <w:rPr>
          <w:szCs w:val="28"/>
        </w:rPr>
        <w:t xml:space="preserve"> autour d'une moyenne stable (~5 300 GWh/mois). Les pics correspondent aux </w:t>
      </w:r>
      <w:r w:rsidRPr="006331E8">
        <w:rPr>
          <w:b/>
          <w:bCs/>
          <w:szCs w:val="28"/>
        </w:rPr>
        <w:t>mois de printemps</w:t>
      </w:r>
      <w:r w:rsidRPr="006331E8">
        <w:rPr>
          <w:szCs w:val="28"/>
        </w:rPr>
        <w:t xml:space="preserve"> (avril-mai) et les creux aux </w:t>
      </w:r>
      <w:r w:rsidRPr="006331E8">
        <w:rPr>
          <w:b/>
          <w:bCs/>
          <w:szCs w:val="28"/>
        </w:rPr>
        <w:t>mois d'été et début d'automne</w:t>
      </w:r>
      <w:r w:rsidRPr="006331E8">
        <w:rPr>
          <w:szCs w:val="28"/>
        </w:rPr>
        <w:t xml:space="preserve"> (septembre-octobre). On note une </w:t>
      </w:r>
      <w:r w:rsidRPr="006331E8">
        <w:rPr>
          <w:b/>
          <w:bCs/>
          <w:szCs w:val="28"/>
        </w:rPr>
        <w:t>baisse marquée en 2022</w:t>
      </w:r>
      <w:r w:rsidRPr="006331E8">
        <w:rPr>
          <w:szCs w:val="28"/>
        </w:rPr>
        <w:t xml:space="preserve"> (sécheresse historique).</w:t>
      </w:r>
    </w:p>
    <w:p w14:paraId="039FA897" w14:textId="77777777" w:rsidR="006331E8" w:rsidRPr="006331E8" w:rsidRDefault="006331E8" w:rsidP="006331E8">
      <w:pPr>
        <w:pStyle w:val="Paragraphedeliste"/>
        <w:numPr>
          <w:ilvl w:val="0"/>
          <w:numId w:val="8"/>
        </w:numPr>
        <w:rPr>
          <w:szCs w:val="28"/>
        </w:rPr>
      </w:pPr>
      <w:r w:rsidRPr="006331E8">
        <w:rPr>
          <w:b/>
          <w:bCs/>
          <w:szCs w:val="28"/>
        </w:rPr>
        <w:t>L'éolien</w:t>
      </w:r>
      <w:r w:rsidRPr="006331E8">
        <w:rPr>
          <w:szCs w:val="28"/>
        </w:rPr>
        <w:t xml:space="preserve"> (courbe verte) montre une </w:t>
      </w:r>
      <w:r w:rsidRPr="006331E8">
        <w:rPr>
          <w:b/>
          <w:bCs/>
          <w:szCs w:val="28"/>
        </w:rPr>
        <w:t>tendance haussière nette</w:t>
      </w:r>
      <w:r w:rsidRPr="006331E8">
        <w:rPr>
          <w:szCs w:val="28"/>
        </w:rPr>
        <w:t xml:space="preserve"> : autour de 200 GWh/mois en 2006, la production atteint régulièrement </w:t>
      </w:r>
      <w:r w:rsidRPr="006331E8">
        <w:rPr>
          <w:b/>
          <w:bCs/>
          <w:szCs w:val="28"/>
        </w:rPr>
        <w:t>3 000 à 5 000 GWh/mois</w:t>
      </w:r>
      <w:r w:rsidRPr="006331E8">
        <w:rPr>
          <w:szCs w:val="28"/>
        </w:rPr>
        <w:t xml:space="preserve"> en fin de période. Les pics sont </w:t>
      </w:r>
      <w:r w:rsidRPr="006331E8">
        <w:rPr>
          <w:b/>
          <w:bCs/>
          <w:szCs w:val="28"/>
        </w:rPr>
        <w:t>hivernaux</w:t>
      </w:r>
      <w:r w:rsidRPr="006331E8">
        <w:rPr>
          <w:szCs w:val="28"/>
        </w:rPr>
        <w:t>.</w:t>
      </w:r>
    </w:p>
    <w:p w14:paraId="632AC986" w14:textId="26EC62D5" w:rsidR="008923DA" w:rsidRDefault="006331E8" w:rsidP="008923DA">
      <w:pPr>
        <w:pStyle w:val="Paragraphedeliste"/>
        <w:numPr>
          <w:ilvl w:val="0"/>
          <w:numId w:val="8"/>
        </w:numPr>
        <w:rPr>
          <w:szCs w:val="28"/>
        </w:rPr>
      </w:pPr>
      <w:r w:rsidRPr="006331E8">
        <w:rPr>
          <w:b/>
          <w:bCs/>
          <w:szCs w:val="28"/>
        </w:rPr>
        <w:t>Le solaire</w:t>
      </w:r>
      <w:r w:rsidRPr="006331E8">
        <w:rPr>
          <w:szCs w:val="28"/>
        </w:rPr>
        <w:t xml:space="preserve"> (courbe jaune) reste à zéro jusqu'en 2011, puis croît de façon </w:t>
      </w:r>
      <w:r w:rsidRPr="006331E8">
        <w:rPr>
          <w:b/>
          <w:bCs/>
          <w:szCs w:val="28"/>
        </w:rPr>
        <w:t>régulière</w:t>
      </w:r>
      <w:r w:rsidRPr="006331E8">
        <w:rPr>
          <w:szCs w:val="28"/>
        </w:rPr>
        <w:t xml:space="preserve">, avec une saisonnalité </w:t>
      </w:r>
      <w:r w:rsidRPr="006331E8">
        <w:rPr>
          <w:b/>
          <w:bCs/>
          <w:szCs w:val="28"/>
        </w:rPr>
        <w:t>estivale</w:t>
      </w:r>
      <w:r w:rsidRPr="006331E8">
        <w:rPr>
          <w:szCs w:val="28"/>
        </w:rPr>
        <w:t xml:space="preserve"> clairement visible (pics en juin-juillet, creux en décembre-janvier).</w:t>
      </w:r>
    </w:p>
    <w:p w14:paraId="4D87872F" w14:textId="77777777" w:rsidR="008923DA" w:rsidRPr="008923DA" w:rsidRDefault="008923DA" w:rsidP="008923DA">
      <w:pPr>
        <w:ind w:start="18pt"/>
        <w:rPr>
          <w:szCs w:val="28"/>
        </w:rPr>
      </w:pPr>
    </w:p>
    <w:p w14:paraId="43F26440" w14:textId="77777777" w:rsidR="006331E8" w:rsidRDefault="006331E8" w:rsidP="008923DA">
      <w:pPr>
        <w:rPr>
          <w:szCs w:val="28"/>
        </w:rPr>
      </w:pPr>
      <w:r w:rsidRPr="008923DA">
        <w:rPr>
          <w:szCs w:val="28"/>
        </w:rPr>
        <w:t xml:space="preserve">On observe ainsi une </w:t>
      </w:r>
      <w:r w:rsidRPr="008923DA">
        <w:rPr>
          <w:b/>
          <w:bCs/>
          <w:szCs w:val="28"/>
        </w:rPr>
        <w:t>complémentarité saisonnière éolien/solaire</w:t>
      </w:r>
      <w:r w:rsidRPr="008923DA">
        <w:rPr>
          <w:szCs w:val="28"/>
        </w:rPr>
        <w:t xml:space="preserve"> : quand l'un produit peu, l'autre produit beaucoup, ce qui lisse l'apport renouvelable sur l'année.</w:t>
      </w:r>
    </w:p>
    <w:p w14:paraId="07750424" w14:textId="3BABE3AA" w:rsidR="00B26D88" w:rsidRDefault="00B26D88" w:rsidP="00B26D88">
      <w:pPr>
        <w:pStyle w:val="Titre3"/>
        <w:numPr>
          <w:ilvl w:val="1"/>
          <w:numId w:val="1"/>
        </w:numPr>
      </w:pPr>
      <w:r>
        <w:t>Évolution mensuelle de la production nucléaire</w:t>
      </w:r>
    </w:p>
    <w:p w14:paraId="5BC803E0" w14:textId="46995A64" w:rsidR="00F9157F" w:rsidRPr="0081659E" w:rsidRDefault="00F9157F" w:rsidP="00F9157F">
      <w:pPr>
        <w:ind w:start="18pt"/>
        <w:rPr>
          <w:b/>
          <w:bCs/>
        </w:rPr>
      </w:pPr>
      <w:r w:rsidRPr="0081659E">
        <w:rPr>
          <w:b/>
          <w:bCs/>
        </w:rPr>
        <w:t>Figure 2 – Évolution mensuelle de la production nucléaire en France (2006-2022, en GWh électriques)</w:t>
      </w:r>
    </w:p>
    <w:p w14:paraId="5FEDA0E4" w14:textId="5A2CE9E0" w:rsidR="00F9157F" w:rsidRPr="00B26D88" w:rsidRDefault="00622F0A" w:rsidP="00F9157F">
      <w:pPr>
        <w:ind w:start="18pt"/>
      </w:pPr>
      <w:r w:rsidRPr="00622F0A">
        <w:rPr>
          <w:noProof/>
        </w:rPr>
        <w:lastRenderedPageBreak/>
        <w:drawing>
          <wp:inline distT="0" distB="0" distL="0" distR="0" wp14:anchorId="08152CEA" wp14:editId="2F68CE1F">
            <wp:extent cx="4930567" cy="2758679"/>
            <wp:effectExtent l="0" t="0" r="3810" b="3810"/>
            <wp:docPr id="1184295361"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84295361" name=""/>
                    <pic:cNvPicPr/>
                  </pic:nvPicPr>
                  <pic:blipFill>
                    <a:blip r:embed="rId13"/>
                    <a:stretch>
                      <a:fillRect/>
                    </a:stretch>
                  </pic:blipFill>
                  <pic:spPr>
                    <a:xfrm>
                      <a:off x="0" y="0"/>
                      <a:ext cx="4930567" cy="2758679"/>
                    </a:xfrm>
                    <a:prstGeom prst="rect">
                      <a:avLst/>
                    </a:prstGeom>
                  </pic:spPr>
                </pic:pic>
              </a:graphicData>
            </a:graphic>
          </wp:inline>
        </w:drawing>
      </w:r>
    </w:p>
    <w:p w14:paraId="4B1E4710" w14:textId="77777777" w:rsidR="005569DB" w:rsidRPr="005569DB" w:rsidRDefault="005569DB" w:rsidP="005569DB">
      <w:pPr>
        <w:rPr>
          <w:szCs w:val="28"/>
        </w:rPr>
      </w:pPr>
      <w:r w:rsidRPr="005569DB">
        <w:rPr>
          <w:szCs w:val="28"/>
        </w:rPr>
        <w:t xml:space="preserve">La production nucléaire présente un comportement </w:t>
      </w:r>
      <w:r w:rsidRPr="005569DB">
        <w:rPr>
          <w:b/>
          <w:bCs/>
          <w:szCs w:val="28"/>
        </w:rPr>
        <w:t>très différent</w:t>
      </w:r>
      <w:r w:rsidRPr="005569DB">
        <w:rPr>
          <w:szCs w:val="28"/>
        </w:rPr>
        <w:t xml:space="preserve"> des renouvelables :</w:t>
      </w:r>
    </w:p>
    <w:p w14:paraId="6398FC0A" w14:textId="77777777" w:rsidR="005569DB" w:rsidRPr="005569DB" w:rsidRDefault="005569DB" w:rsidP="005569DB">
      <w:pPr>
        <w:numPr>
          <w:ilvl w:val="0"/>
          <w:numId w:val="9"/>
        </w:numPr>
        <w:rPr>
          <w:szCs w:val="28"/>
        </w:rPr>
      </w:pPr>
      <w:r w:rsidRPr="005569DB">
        <w:rPr>
          <w:b/>
          <w:bCs/>
          <w:szCs w:val="28"/>
        </w:rPr>
        <w:t>Une saisonnalité inverse à l'hydraulique</w:t>
      </w:r>
      <w:r w:rsidRPr="005569DB">
        <w:rPr>
          <w:szCs w:val="28"/>
        </w:rPr>
        <w:t xml:space="preserve"> : la production est </w:t>
      </w:r>
      <w:r w:rsidRPr="005569DB">
        <w:rPr>
          <w:b/>
          <w:bCs/>
          <w:szCs w:val="28"/>
        </w:rPr>
        <w:t>maximale en hiver</w:t>
      </w:r>
      <w:r w:rsidRPr="005569DB">
        <w:rPr>
          <w:szCs w:val="28"/>
        </w:rPr>
        <w:t xml:space="preserve"> (pic de demande, donc maintien des tranches en service) et </w:t>
      </w:r>
      <w:r w:rsidRPr="005569DB">
        <w:rPr>
          <w:b/>
          <w:bCs/>
          <w:szCs w:val="28"/>
        </w:rPr>
        <w:t>minimale en été</w:t>
      </w:r>
      <w:r w:rsidRPr="005569DB">
        <w:rPr>
          <w:szCs w:val="28"/>
        </w:rPr>
        <w:t xml:space="preserve"> (arrêts programmés pour </w:t>
      </w:r>
      <w:r w:rsidRPr="005569DB">
        <w:rPr>
          <w:b/>
          <w:bCs/>
          <w:szCs w:val="28"/>
        </w:rPr>
        <w:t>maintenance et rechargement de combustible</w:t>
      </w:r>
      <w:r w:rsidRPr="005569DB">
        <w:rPr>
          <w:szCs w:val="28"/>
        </w:rPr>
        <w:t xml:space="preserve">). On observe ainsi des </w:t>
      </w:r>
      <w:r w:rsidRPr="005569DB">
        <w:rPr>
          <w:b/>
          <w:bCs/>
          <w:szCs w:val="28"/>
        </w:rPr>
        <w:t>oscillations annuelles régulières</w:t>
      </w:r>
      <w:r w:rsidRPr="005569DB">
        <w:rPr>
          <w:szCs w:val="28"/>
        </w:rPr>
        <w:t>.</w:t>
      </w:r>
    </w:p>
    <w:p w14:paraId="7F09F38E" w14:textId="77777777" w:rsidR="005569DB" w:rsidRPr="005569DB" w:rsidRDefault="005569DB" w:rsidP="005569DB">
      <w:pPr>
        <w:numPr>
          <w:ilvl w:val="0"/>
          <w:numId w:val="9"/>
        </w:numPr>
        <w:rPr>
          <w:szCs w:val="28"/>
        </w:rPr>
      </w:pPr>
      <w:r w:rsidRPr="005569DB">
        <w:rPr>
          <w:b/>
          <w:bCs/>
          <w:szCs w:val="28"/>
        </w:rPr>
        <w:t>Une tendance globale à la baisse</w:t>
      </w:r>
      <w:r w:rsidRPr="005569DB">
        <w:rPr>
          <w:szCs w:val="28"/>
        </w:rPr>
        <w:t xml:space="preserve"> : on passe d'une moyenne d'environ </w:t>
      </w:r>
      <w:r w:rsidRPr="005569DB">
        <w:rPr>
          <w:b/>
          <w:bCs/>
          <w:szCs w:val="28"/>
        </w:rPr>
        <w:t>39 000 GWh électriques/mois en 2006</w:t>
      </w:r>
      <w:r w:rsidRPr="005569DB">
        <w:rPr>
          <w:szCs w:val="28"/>
        </w:rPr>
        <w:t xml:space="preserve"> à environ </w:t>
      </w:r>
      <w:r w:rsidRPr="005569DB">
        <w:rPr>
          <w:b/>
          <w:bCs/>
          <w:szCs w:val="28"/>
        </w:rPr>
        <w:t>25 000 GWh/mois en 2022</w:t>
      </w:r>
      <w:r w:rsidRPr="005569DB">
        <w:rPr>
          <w:szCs w:val="28"/>
        </w:rPr>
        <w:t xml:space="preserve">, soit une </w:t>
      </w:r>
      <w:r w:rsidRPr="005569DB">
        <w:rPr>
          <w:b/>
          <w:bCs/>
          <w:szCs w:val="28"/>
        </w:rPr>
        <w:t>baisse de l'ordre de 35 %</w:t>
      </w:r>
      <w:r w:rsidRPr="005569DB">
        <w:rPr>
          <w:szCs w:val="28"/>
        </w:rPr>
        <w:t xml:space="preserve"> sur la période.</w:t>
      </w:r>
    </w:p>
    <w:p w14:paraId="3BD18C51" w14:textId="77777777" w:rsidR="005569DB" w:rsidRPr="005569DB" w:rsidRDefault="005569DB" w:rsidP="005569DB">
      <w:pPr>
        <w:numPr>
          <w:ilvl w:val="0"/>
          <w:numId w:val="9"/>
        </w:numPr>
        <w:rPr>
          <w:szCs w:val="28"/>
        </w:rPr>
      </w:pPr>
      <w:r w:rsidRPr="005569DB">
        <w:rPr>
          <w:b/>
          <w:bCs/>
          <w:szCs w:val="28"/>
        </w:rPr>
        <w:t>Un effondrement marqué en 2022</w:t>
      </w:r>
      <w:r w:rsidRPr="005569DB">
        <w:rPr>
          <w:szCs w:val="28"/>
        </w:rPr>
        <w:t xml:space="preserve"> : la production atteint son </w:t>
      </w:r>
      <w:r w:rsidRPr="005569DB">
        <w:rPr>
          <w:b/>
          <w:bCs/>
          <w:szCs w:val="28"/>
        </w:rPr>
        <w:t>plus bas niveau historique</w:t>
      </w:r>
      <w:r w:rsidRPr="005569DB">
        <w:rPr>
          <w:szCs w:val="28"/>
        </w:rPr>
        <w:t xml:space="preserve">, en raison de la </w:t>
      </w:r>
      <w:r w:rsidRPr="005569DB">
        <w:rPr>
          <w:b/>
          <w:bCs/>
          <w:szCs w:val="28"/>
        </w:rPr>
        <w:t>crise de corrosion sous contrainte (CSC)</w:t>
      </w:r>
      <w:r w:rsidRPr="005569DB">
        <w:rPr>
          <w:szCs w:val="28"/>
        </w:rPr>
        <w:t xml:space="preserve"> détectée sur plusieurs réacteurs, qui a entraîné l'arrêt simultané de nombreuses tranches.</w:t>
      </w:r>
    </w:p>
    <w:p w14:paraId="7100D178" w14:textId="77777777" w:rsidR="005569DB" w:rsidRDefault="005569DB" w:rsidP="005569DB">
      <w:pPr>
        <w:rPr>
          <w:szCs w:val="28"/>
        </w:rPr>
      </w:pPr>
      <w:r w:rsidRPr="005569DB">
        <w:rPr>
          <w:szCs w:val="28"/>
        </w:rPr>
        <w:t xml:space="preserve">Cette évolution traduit une </w:t>
      </w:r>
      <w:r w:rsidRPr="005569DB">
        <w:rPr>
          <w:b/>
          <w:bCs/>
          <w:szCs w:val="28"/>
        </w:rPr>
        <w:t>fragilité croissante du parc nucléaire français vieillissant</w:t>
      </w:r>
      <w:r w:rsidRPr="005569DB">
        <w:rPr>
          <w:szCs w:val="28"/>
        </w:rPr>
        <w:t xml:space="preserve">, et explique en partie le recours accru aux </w:t>
      </w:r>
      <w:r w:rsidRPr="005569DB">
        <w:rPr>
          <w:b/>
          <w:bCs/>
          <w:szCs w:val="28"/>
        </w:rPr>
        <w:t>importations d'électricité</w:t>
      </w:r>
      <w:r w:rsidRPr="005569DB">
        <w:rPr>
          <w:szCs w:val="28"/>
        </w:rPr>
        <w:t xml:space="preserve"> sur les dernières années.</w:t>
      </w:r>
    </w:p>
    <w:p w14:paraId="47140502" w14:textId="016DBDDE" w:rsidR="00B4274E" w:rsidRDefault="00D170DA" w:rsidP="00D170DA">
      <w:pPr>
        <w:pStyle w:val="Titre3"/>
        <w:numPr>
          <w:ilvl w:val="1"/>
          <w:numId w:val="1"/>
        </w:numPr>
      </w:pPr>
      <w:r>
        <w:t>Évolution annuelle du mix de production</w:t>
      </w:r>
    </w:p>
    <w:p w14:paraId="1411942A" w14:textId="3DF7708E" w:rsidR="00D170DA" w:rsidRPr="0081659E" w:rsidRDefault="00D170DA" w:rsidP="00D170DA">
      <w:pPr>
        <w:ind w:start="18pt"/>
        <w:rPr>
          <w:b/>
          <w:bCs/>
        </w:rPr>
      </w:pPr>
      <w:r w:rsidRPr="0081659E">
        <w:rPr>
          <w:b/>
          <w:bCs/>
        </w:rPr>
        <w:t>Figure 3 – Production électrique annuelle par source (diagramme empilé, 2006-2022)</w:t>
      </w:r>
    </w:p>
    <w:p w14:paraId="7F6C4898" w14:textId="4A5AF2A0" w:rsidR="00F33873" w:rsidRPr="00D170DA" w:rsidRDefault="00F33873" w:rsidP="00D170DA">
      <w:pPr>
        <w:ind w:start="18pt"/>
      </w:pPr>
      <w:r w:rsidRPr="00F33873">
        <w:rPr>
          <w:noProof/>
        </w:rPr>
        <w:lastRenderedPageBreak/>
        <w:drawing>
          <wp:inline distT="0" distB="0" distL="0" distR="0" wp14:anchorId="1E1AD3D8" wp14:editId="063DD8A5">
            <wp:extent cx="4861981" cy="3101609"/>
            <wp:effectExtent l="0" t="0" r="0" b="3810"/>
            <wp:docPr id="48914000"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914000" name=""/>
                    <pic:cNvPicPr/>
                  </pic:nvPicPr>
                  <pic:blipFill>
                    <a:blip r:embed="rId14"/>
                    <a:stretch>
                      <a:fillRect/>
                    </a:stretch>
                  </pic:blipFill>
                  <pic:spPr>
                    <a:xfrm>
                      <a:off x="0" y="0"/>
                      <a:ext cx="4861981" cy="3101609"/>
                    </a:xfrm>
                    <a:prstGeom prst="rect">
                      <a:avLst/>
                    </a:prstGeom>
                  </pic:spPr>
                </pic:pic>
              </a:graphicData>
            </a:graphic>
          </wp:inline>
        </w:drawing>
      </w:r>
    </w:p>
    <w:p w14:paraId="38DDC6E8" w14:textId="4DF8F844" w:rsidR="00900C68" w:rsidRPr="00900C68" w:rsidRDefault="00900C68" w:rsidP="00900C68">
      <w:pPr>
        <w:rPr>
          <w:szCs w:val="28"/>
        </w:rPr>
      </w:pPr>
      <w:r w:rsidRPr="00900C68">
        <w:rPr>
          <w:szCs w:val="28"/>
        </w:rPr>
        <w:t>Ce</w:t>
      </w:r>
      <w:r w:rsidR="008D592B">
        <w:rPr>
          <w:szCs w:val="28"/>
        </w:rPr>
        <w:t xml:space="preserve"> diagramme</w:t>
      </w:r>
      <w:r w:rsidRPr="00900C68">
        <w:rPr>
          <w:szCs w:val="28"/>
        </w:rPr>
        <w:t xml:space="preserve"> empilé permet de visualiser </w:t>
      </w:r>
      <w:r w:rsidRPr="00900C68">
        <w:rPr>
          <w:b/>
          <w:bCs/>
          <w:szCs w:val="28"/>
        </w:rPr>
        <w:t>la composition du mix année par année</w:t>
      </w:r>
      <w:r w:rsidRPr="00900C68">
        <w:rPr>
          <w:szCs w:val="28"/>
        </w:rPr>
        <w:t xml:space="preserve"> :</w:t>
      </w:r>
    </w:p>
    <w:p w14:paraId="2F2486A7" w14:textId="77777777" w:rsidR="00900C68" w:rsidRPr="00900C68" w:rsidRDefault="00900C68" w:rsidP="00900C68">
      <w:pPr>
        <w:numPr>
          <w:ilvl w:val="0"/>
          <w:numId w:val="10"/>
        </w:numPr>
        <w:rPr>
          <w:szCs w:val="28"/>
        </w:rPr>
      </w:pPr>
      <w:r w:rsidRPr="00900C68">
        <w:rPr>
          <w:szCs w:val="28"/>
        </w:rPr>
        <w:t xml:space="preserve">La </w:t>
      </w:r>
      <w:r w:rsidRPr="00900C68">
        <w:rPr>
          <w:b/>
          <w:bCs/>
          <w:szCs w:val="28"/>
        </w:rPr>
        <w:t>production totale reste relativement stable</w:t>
      </w:r>
      <w:r w:rsidRPr="00900C68">
        <w:rPr>
          <w:szCs w:val="28"/>
        </w:rPr>
        <w:t xml:space="preserve"> sur la période (autour de 500-550 TWh/an), ce qui montre que </w:t>
      </w:r>
      <w:r w:rsidRPr="00900C68">
        <w:rPr>
          <w:b/>
          <w:bCs/>
          <w:szCs w:val="28"/>
        </w:rPr>
        <w:t>la baisse du nucléaire a été compensée</w:t>
      </w:r>
      <w:r w:rsidRPr="00900C68">
        <w:rPr>
          <w:szCs w:val="28"/>
        </w:rPr>
        <w:t xml:space="preserve"> par la montée des renouvelables et, dans une moindre mesure, par les importations.</w:t>
      </w:r>
    </w:p>
    <w:p w14:paraId="274E7C60" w14:textId="77777777" w:rsidR="00900C68" w:rsidRPr="00900C68" w:rsidRDefault="00900C68" w:rsidP="00900C68">
      <w:pPr>
        <w:numPr>
          <w:ilvl w:val="0"/>
          <w:numId w:val="10"/>
        </w:numPr>
        <w:rPr>
          <w:szCs w:val="28"/>
        </w:rPr>
      </w:pPr>
      <w:r w:rsidRPr="00900C68">
        <w:rPr>
          <w:szCs w:val="28"/>
        </w:rPr>
        <w:t xml:space="preserve">La </w:t>
      </w:r>
      <w:r w:rsidRPr="00900C68">
        <w:rPr>
          <w:b/>
          <w:bCs/>
          <w:szCs w:val="28"/>
        </w:rPr>
        <w:t>part des EnR (éolien + solaire) augmente progressivement</w:t>
      </w:r>
      <w:r w:rsidRPr="00900C68">
        <w:rPr>
          <w:szCs w:val="28"/>
        </w:rPr>
        <w:t xml:space="preserve"> : quasi inexistante en 2006, elle représente une part visible du mix dès 2015 et continue de croître jusqu'en 2022.</w:t>
      </w:r>
    </w:p>
    <w:p w14:paraId="09064233" w14:textId="77777777" w:rsidR="00900C68" w:rsidRPr="00900C68" w:rsidRDefault="00900C68" w:rsidP="00900C68">
      <w:pPr>
        <w:numPr>
          <w:ilvl w:val="0"/>
          <w:numId w:val="10"/>
        </w:numPr>
        <w:rPr>
          <w:szCs w:val="28"/>
        </w:rPr>
      </w:pPr>
      <w:r w:rsidRPr="00900C68">
        <w:rPr>
          <w:szCs w:val="28"/>
        </w:rPr>
        <w:t>L'</w:t>
      </w:r>
      <w:r w:rsidRPr="00900C68">
        <w:rPr>
          <w:b/>
          <w:bCs/>
          <w:szCs w:val="28"/>
        </w:rPr>
        <w:t>hydraulique reste un socle stable</w:t>
      </w:r>
      <w:r w:rsidRPr="00900C68">
        <w:rPr>
          <w:szCs w:val="28"/>
        </w:rPr>
        <w:t>, malgré sa variabilité annuelle.</w:t>
      </w:r>
    </w:p>
    <w:p w14:paraId="50265167" w14:textId="77777777" w:rsidR="00900C68" w:rsidRDefault="00900C68" w:rsidP="00900C68">
      <w:pPr>
        <w:numPr>
          <w:ilvl w:val="0"/>
          <w:numId w:val="10"/>
        </w:numPr>
        <w:rPr>
          <w:szCs w:val="28"/>
        </w:rPr>
      </w:pPr>
      <w:r w:rsidRPr="00900C68">
        <w:rPr>
          <w:szCs w:val="28"/>
        </w:rPr>
        <w:t xml:space="preserve">La </w:t>
      </w:r>
      <w:r w:rsidRPr="00900C68">
        <w:rPr>
          <w:b/>
          <w:bCs/>
          <w:szCs w:val="28"/>
        </w:rPr>
        <w:t>chute du nucléaire en 2022</w:t>
      </w:r>
      <w:r w:rsidRPr="00900C68">
        <w:rPr>
          <w:szCs w:val="28"/>
        </w:rPr>
        <w:t xml:space="preserve"> est très visible et n'est </w:t>
      </w:r>
      <w:r w:rsidRPr="00900C68">
        <w:rPr>
          <w:b/>
          <w:bCs/>
          <w:szCs w:val="28"/>
        </w:rPr>
        <w:t>que partiellement compensée</w:t>
      </w:r>
      <w:r w:rsidRPr="00900C68">
        <w:rPr>
          <w:szCs w:val="28"/>
        </w:rPr>
        <w:t xml:space="preserve"> par les autres sources, ce qui explique que la France soit devenue </w:t>
      </w:r>
      <w:r w:rsidRPr="00900C68">
        <w:rPr>
          <w:b/>
          <w:bCs/>
          <w:szCs w:val="28"/>
        </w:rPr>
        <w:t>importatrice nette d'électricité</w:t>
      </w:r>
      <w:r w:rsidRPr="00900C68">
        <w:rPr>
          <w:szCs w:val="28"/>
        </w:rPr>
        <w:t xml:space="preserve"> cette année-là (situation historiquement rare).</w:t>
      </w:r>
    </w:p>
    <w:p w14:paraId="46D39FE6" w14:textId="345BF61D" w:rsidR="000E008B" w:rsidRDefault="000E008B" w:rsidP="000E008B">
      <w:pPr>
        <w:pStyle w:val="Titre3"/>
        <w:numPr>
          <w:ilvl w:val="1"/>
          <w:numId w:val="1"/>
        </w:numPr>
      </w:pPr>
      <w:r>
        <w:t>Synthèse de l’évolution temporelle</w:t>
      </w:r>
    </w:p>
    <w:p w14:paraId="3BAAF8CA" w14:textId="77777777" w:rsidR="004C590A" w:rsidRPr="004C590A" w:rsidRDefault="004C590A" w:rsidP="004C590A">
      <w:pPr>
        <w:ind w:start="18pt"/>
      </w:pPr>
      <w:r w:rsidRPr="004C590A">
        <w:rPr>
          <w:b/>
          <w:bCs/>
        </w:rPr>
        <w:t>Trois grands enseignements</w:t>
      </w:r>
      <w:r w:rsidRPr="004C590A">
        <w:t xml:space="preserve"> ressortent de cette analyse temporelle :</w:t>
      </w:r>
    </w:p>
    <w:p w14:paraId="29173E0B" w14:textId="77777777" w:rsidR="004C590A" w:rsidRPr="004C590A" w:rsidRDefault="004C590A" w:rsidP="004C590A">
      <w:pPr>
        <w:numPr>
          <w:ilvl w:val="0"/>
          <w:numId w:val="11"/>
        </w:numPr>
      </w:pPr>
      <w:r w:rsidRPr="004C590A">
        <w:rPr>
          <w:b/>
          <w:bCs/>
        </w:rPr>
        <w:t>Le mix électrique français se transforme</w:t>
      </w:r>
      <w:r w:rsidRPr="004C590A">
        <w:t xml:space="preserve"> : montée des EnR, déclin relatif du nucléaire.</w:t>
      </w:r>
    </w:p>
    <w:p w14:paraId="7BB3EB9B" w14:textId="77777777" w:rsidR="004C590A" w:rsidRPr="004C590A" w:rsidRDefault="004C590A" w:rsidP="004C590A">
      <w:pPr>
        <w:numPr>
          <w:ilvl w:val="0"/>
          <w:numId w:val="11"/>
        </w:numPr>
      </w:pPr>
      <w:r w:rsidRPr="004C590A">
        <w:rPr>
          <w:b/>
          <w:bCs/>
        </w:rPr>
        <w:t>Les saisonnalités des différentes sources sont complémentaires</w:t>
      </w:r>
      <w:r w:rsidRPr="004C590A">
        <w:t>, ce qui plaide pour un mix diversifié.</w:t>
      </w:r>
    </w:p>
    <w:p w14:paraId="4062A1AE" w14:textId="77777777" w:rsidR="004C590A" w:rsidRDefault="004C590A" w:rsidP="004C590A">
      <w:pPr>
        <w:numPr>
          <w:ilvl w:val="0"/>
          <w:numId w:val="11"/>
        </w:numPr>
      </w:pPr>
      <w:r w:rsidRPr="004C590A">
        <w:rPr>
          <w:b/>
          <w:bCs/>
        </w:rPr>
        <w:lastRenderedPageBreak/>
        <w:t>L'année 2022 marque un point de bascule</w:t>
      </w:r>
      <w:r w:rsidRPr="004C590A">
        <w:t xml:space="preserve"> : la France devient importatrice nette d'électricité pour la première fois depuis des décennies, en raison de la conjonction d'une </w:t>
      </w:r>
      <w:r w:rsidRPr="004C590A">
        <w:rPr>
          <w:b/>
          <w:bCs/>
        </w:rPr>
        <w:t>sécheresse</w:t>
      </w:r>
      <w:r w:rsidRPr="004C590A">
        <w:t xml:space="preserve"> (baisse hydraulique) et de la </w:t>
      </w:r>
      <w:r w:rsidRPr="004C590A">
        <w:rPr>
          <w:b/>
          <w:bCs/>
        </w:rPr>
        <w:t>crise du parc nucléaire</w:t>
      </w:r>
      <w:r w:rsidRPr="004C590A">
        <w:t>.</w:t>
      </w:r>
    </w:p>
    <w:p w14:paraId="1943B4A9" w14:textId="5A3C1EFD" w:rsidR="005A6367" w:rsidRDefault="005A6367" w:rsidP="005A6367">
      <w:pPr>
        <w:pStyle w:val="Titre2"/>
        <w:numPr>
          <w:ilvl w:val="0"/>
          <w:numId w:val="11"/>
        </w:numPr>
      </w:pPr>
      <w:r>
        <w:t>Le mix de production électrique français</w:t>
      </w:r>
    </w:p>
    <w:p w14:paraId="275E08F4" w14:textId="1C092680" w:rsidR="005A6367" w:rsidRDefault="005A6367" w:rsidP="005A6367">
      <w:pPr>
        <w:pStyle w:val="Titre3"/>
        <w:ind w:firstLine="18pt"/>
      </w:pPr>
      <w:r>
        <w:t xml:space="preserve">4.1 Répartition moyenne par source </w:t>
      </w:r>
    </w:p>
    <w:p w14:paraId="032B4A1B" w14:textId="18429B0C" w:rsidR="005A6367" w:rsidRDefault="00C51661" w:rsidP="005A6367">
      <w:r w:rsidRPr="00C51661">
        <w:drawing>
          <wp:inline distT="0" distB="0" distL="0" distR="0" wp14:anchorId="4E42CE16" wp14:editId="73E90912">
            <wp:extent cx="5334462" cy="2987299"/>
            <wp:effectExtent l="0" t="0" r="0" b="3810"/>
            <wp:docPr id="1745777375"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45777375" name=""/>
                    <pic:cNvPicPr/>
                  </pic:nvPicPr>
                  <pic:blipFill>
                    <a:blip r:embed="rId15"/>
                    <a:stretch>
                      <a:fillRect/>
                    </a:stretch>
                  </pic:blipFill>
                  <pic:spPr>
                    <a:xfrm>
                      <a:off x="0" y="0"/>
                      <a:ext cx="5334462" cy="2987299"/>
                    </a:xfrm>
                    <a:prstGeom prst="rect">
                      <a:avLst/>
                    </a:prstGeom>
                  </pic:spPr>
                </pic:pic>
              </a:graphicData>
            </a:graphic>
          </wp:inline>
        </w:drawing>
      </w:r>
    </w:p>
    <w:p w14:paraId="62824583" w14:textId="6E4D61ED" w:rsidR="001F64E8" w:rsidRDefault="001F64E8" w:rsidP="005A6367">
      <w:r w:rsidRPr="001F64E8">
        <w:t xml:space="preserve">Pour quantifier la </w:t>
      </w:r>
      <w:r w:rsidRPr="001F64E8">
        <w:rPr>
          <w:b/>
          <w:bCs/>
        </w:rPr>
        <w:t>structure moyenne du mix électrique français</w:t>
      </w:r>
      <w:r w:rsidRPr="001F64E8">
        <w:t xml:space="preserve"> sur l'ensemble de la période étudiée, nous avons calculé la </w:t>
      </w:r>
      <w:r w:rsidRPr="001F64E8">
        <w:rPr>
          <w:b/>
          <w:bCs/>
        </w:rPr>
        <w:t>production moyenne mensuelle de chaque source</w:t>
      </w:r>
      <w:r w:rsidRPr="001F64E8">
        <w:t xml:space="preserve"> puis sa part en pourcentage du total.</w:t>
      </w:r>
    </w:p>
    <w:tbl>
      <w:tblPr>
        <w:tblStyle w:val="Grilledutableau"/>
        <w:tblW w:w="0pt" w:type="dxa"/>
        <w:tblLook w:firstRow="1" w:lastRow="0" w:firstColumn="1" w:lastColumn="0" w:noHBand="0" w:noVBand="1"/>
      </w:tblPr>
      <w:tblGrid>
        <w:gridCol w:w="1634"/>
        <w:gridCol w:w="1496"/>
        <w:gridCol w:w="854"/>
      </w:tblGrid>
      <w:tr w:rsidR="00666827" w:rsidRPr="00666827" w14:paraId="0A9517FB" w14:textId="77777777" w:rsidTr="00791636">
        <w:tc>
          <w:tcPr>
            <w:tcW w:w="0pt" w:type="dxa"/>
            <w:hideMark/>
          </w:tcPr>
          <w:p w14:paraId="521EB5FE" w14:textId="77777777" w:rsidR="00666827" w:rsidRPr="00666827" w:rsidRDefault="00666827" w:rsidP="00666827">
            <w:pPr>
              <w:spacing w:after="8pt" w:line="12.70pt" w:lineRule="auto"/>
              <w:rPr>
                <w:b/>
                <w:bCs/>
              </w:rPr>
            </w:pPr>
            <w:r w:rsidRPr="00666827">
              <w:rPr>
                <w:b/>
                <w:bCs/>
              </w:rPr>
              <w:t>Source</w:t>
            </w:r>
          </w:p>
        </w:tc>
        <w:tc>
          <w:tcPr>
            <w:tcW w:w="0pt" w:type="dxa"/>
            <w:hideMark/>
          </w:tcPr>
          <w:p w14:paraId="7F38A005" w14:textId="77777777" w:rsidR="00666827" w:rsidRPr="00666827" w:rsidRDefault="00666827" w:rsidP="00666827">
            <w:pPr>
              <w:spacing w:after="8pt" w:line="12.70pt" w:lineRule="auto"/>
              <w:rPr>
                <w:b/>
                <w:bCs/>
              </w:rPr>
            </w:pPr>
            <w:r w:rsidRPr="00666827">
              <w:rPr>
                <w:b/>
                <w:bCs/>
              </w:rPr>
              <w:t>Production moyenne mensuelle (GWh)</w:t>
            </w:r>
          </w:p>
        </w:tc>
        <w:tc>
          <w:tcPr>
            <w:tcW w:w="0pt" w:type="dxa"/>
            <w:hideMark/>
          </w:tcPr>
          <w:p w14:paraId="3A5FDC59" w14:textId="77777777" w:rsidR="00666827" w:rsidRPr="00666827" w:rsidRDefault="00666827" w:rsidP="00666827">
            <w:pPr>
              <w:spacing w:after="8pt" w:line="12.70pt" w:lineRule="auto"/>
              <w:rPr>
                <w:b/>
                <w:bCs/>
              </w:rPr>
            </w:pPr>
            <w:r w:rsidRPr="00666827">
              <w:rPr>
                <w:b/>
                <w:bCs/>
              </w:rPr>
              <w:t>Part du mix</w:t>
            </w:r>
          </w:p>
        </w:tc>
      </w:tr>
      <w:tr w:rsidR="00666827" w:rsidRPr="00666827" w14:paraId="0AB6E5F6" w14:textId="77777777" w:rsidTr="00791636">
        <w:tc>
          <w:tcPr>
            <w:tcW w:w="0pt" w:type="dxa"/>
            <w:hideMark/>
          </w:tcPr>
          <w:p w14:paraId="14C59CE7" w14:textId="7FFBA1D3" w:rsidR="00666827" w:rsidRPr="00666827" w:rsidRDefault="00666827" w:rsidP="00666827">
            <w:pPr>
              <w:spacing w:after="8pt" w:line="12.70pt" w:lineRule="auto"/>
            </w:pPr>
            <w:r w:rsidRPr="00666827">
              <w:rPr>
                <w:b/>
                <w:bCs/>
              </w:rPr>
              <w:t>Nucléaire</w:t>
            </w:r>
            <w:r w:rsidRPr="00666827">
              <w:t xml:space="preserve"> </w:t>
            </w:r>
            <w:r w:rsidRPr="00666827">
              <w:rPr>
                <w:i/>
                <w:iCs/>
              </w:rPr>
              <w:t>(équivalent élec.</w:t>
            </w:r>
            <w:r w:rsidR="00791636">
              <w:rPr>
                <w:i/>
                <w:iCs/>
              </w:rPr>
              <w:t xml:space="preserve"> Voir 1.2</w:t>
            </w:r>
            <w:r w:rsidRPr="00666827">
              <w:rPr>
                <w:i/>
                <w:iCs/>
              </w:rPr>
              <w:t>)</w:t>
            </w:r>
          </w:p>
        </w:tc>
        <w:tc>
          <w:tcPr>
            <w:tcW w:w="0pt" w:type="dxa"/>
            <w:hideMark/>
          </w:tcPr>
          <w:p w14:paraId="7C20FD8A" w14:textId="77777777" w:rsidR="00666827" w:rsidRPr="00666827" w:rsidRDefault="00666827" w:rsidP="00666827">
            <w:pPr>
              <w:spacing w:after="8pt" w:line="12.70pt" w:lineRule="auto"/>
            </w:pPr>
            <w:r w:rsidRPr="00666827">
              <w:t>~34 537</w:t>
            </w:r>
          </w:p>
        </w:tc>
        <w:tc>
          <w:tcPr>
            <w:tcW w:w="0pt" w:type="dxa"/>
            <w:hideMark/>
          </w:tcPr>
          <w:p w14:paraId="18AB9D1B" w14:textId="77777777" w:rsidR="00666827" w:rsidRPr="00666827" w:rsidRDefault="00666827" w:rsidP="00666827">
            <w:pPr>
              <w:spacing w:after="8pt" w:line="12.70pt" w:lineRule="auto"/>
            </w:pPr>
            <w:r w:rsidRPr="00666827">
              <w:rPr>
                <w:b/>
                <w:bCs/>
              </w:rPr>
              <w:t>~82 %</w:t>
            </w:r>
          </w:p>
        </w:tc>
      </w:tr>
      <w:tr w:rsidR="00666827" w:rsidRPr="00666827" w14:paraId="3090576B" w14:textId="77777777" w:rsidTr="00791636">
        <w:tc>
          <w:tcPr>
            <w:tcW w:w="0pt" w:type="dxa"/>
            <w:hideMark/>
          </w:tcPr>
          <w:p w14:paraId="25A0B6FB" w14:textId="77777777" w:rsidR="00666827" w:rsidRPr="00666827" w:rsidRDefault="00666827" w:rsidP="00666827">
            <w:pPr>
              <w:spacing w:after="8pt" w:line="12.70pt" w:lineRule="auto"/>
            </w:pPr>
            <w:r w:rsidRPr="00666827">
              <w:rPr>
                <w:b/>
                <w:bCs/>
              </w:rPr>
              <w:t>Hydraulique</w:t>
            </w:r>
          </w:p>
        </w:tc>
        <w:tc>
          <w:tcPr>
            <w:tcW w:w="0pt" w:type="dxa"/>
            <w:hideMark/>
          </w:tcPr>
          <w:p w14:paraId="21987FE5" w14:textId="77777777" w:rsidR="00666827" w:rsidRPr="00666827" w:rsidRDefault="00666827" w:rsidP="00666827">
            <w:pPr>
              <w:spacing w:after="8pt" w:line="12.70pt" w:lineRule="auto"/>
            </w:pPr>
            <w:r w:rsidRPr="00666827">
              <w:t>~5 285</w:t>
            </w:r>
          </w:p>
        </w:tc>
        <w:tc>
          <w:tcPr>
            <w:tcW w:w="0pt" w:type="dxa"/>
            <w:hideMark/>
          </w:tcPr>
          <w:p w14:paraId="726F3D52" w14:textId="77777777" w:rsidR="00666827" w:rsidRPr="00666827" w:rsidRDefault="00666827" w:rsidP="00666827">
            <w:pPr>
              <w:spacing w:after="8pt" w:line="12.70pt" w:lineRule="auto"/>
            </w:pPr>
            <w:r w:rsidRPr="00666827">
              <w:rPr>
                <w:b/>
                <w:bCs/>
              </w:rPr>
              <w:t>~12,5 %</w:t>
            </w:r>
          </w:p>
        </w:tc>
      </w:tr>
      <w:tr w:rsidR="00666827" w:rsidRPr="00666827" w14:paraId="0F5D1A7B" w14:textId="77777777" w:rsidTr="00791636">
        <w:tc>
          <w:tcPr>
            <w:tcW w:w="0pt" w:type="dxa"/>
            <w:hideMark/>
          </w:tcPr>
          <w:p w14:paraId="2C767B9D" w14:textId="77777777" w:rsidR="00666827" w:rsidRPr="00666827" w:rsidRDefault="00666827" w:rsidP="00666827">
            <w:pPr>
              <w:spacing w:after="8pt" w:line="12.70pt" w:lineRule="auto"/>
            </w:pPr>
            <w:r w:rsidRPr="00666827">
              <w:rPr>
                <w:b/>
                <w:bCs/>
              </w:rPr>
              <w:t>Éolien</w:t>
            </w:r>
          </w:p>
        </w:tc>
        <w:tc>
          <w:tcPr>
            <w:tcW w:w="0pt" w:type="dxa"/>
            <w:hideMark/>
          </w:tcPr>
          <w:p w14:paraId="58710469" w14:textId="77777777" w:rsidR="00666827" w:rsidRPr="00666827" w:rsidRDefault="00666827" w:rsidP="00666827">
            <w:pPr>
              <w:spacing w:after="8pt" w:line="12.70pt" w:lineRule="auto"/>
            </w:pPr>
            <w:r w:rsidRPr="00666827">
              <w:t>~1 597</w:t>
            </w:r>
          </w:p>
        </w:tc>
        <w:tc>
          <w:tcPr>
            <w:tcW w:w="0pt" w:type="dxa"/>
            <w:hideMark/>
          </w:tcPr>
          <w:p w14:paraId="02C309D6" w14:textId="77777777" w:rsidR="00666827" w:rsidRPr="00666827" w:rsidRDefault="00666827" w:rsidP="00666827">
            <w:pPr>
              <w:spacing w:after="8pt" w:line="12.70pt" w:lineRule="auto"/>
            </w:pPr>
            <w:r w:rsidRPr="00666827">
              <w:rPr>
                <w:b/>
                <w:bCs/>
              </w:rPr>
              <w:t>~3,8 %</w:t>
            </w:r>
          </w:p>
        </w:tc>
      </w:tr>
      <w:tr w:rsidR="00666827" w:rsidRPr="00666827" w14:paraId="1A2DD0EE" w14:textId="77777777" w:rsidTr="00791636">
        <w:tc>
          <w:tcPr>
            <w:tcW w:w="0pt" w:type="dxa"/>
            <w:hideMark/>
          </w:tcPr>
          <w:p w14:paraId="01CD9BF5" w14:textId="77777777" w:rsidR="00666827" w:rsidRPr="00666827" w:rsidRDefault="00666827" w:rsidP="00666827">
            <w:pPr>
              <w:spacing w:after="8pt" w:line="12.70pt" w:lineRule="auto"/>
            </w:pPr>
            <w:r w:rsidRPr="00666827">
              <w:rPr>
                <w:b/>
                <w:bCs/>
              </w:rPr>
              <w:lastRenderedPageBreak/>
              <w:t>Solaire</w:t>
            </w:r>
          </w:p>
        </w:tc>
        <w:tc>
          <w:tcPr>
            <w:tcW w:w="0pt" w:type="dxa"/>
            <w:hideMark/>
          </w:tcPr>
          <w:p w14:paraId="47E4C41F" w14:textId="77777777" w:rsidR="00666827" w:rsidRPr="00666827" w:rsidRDefault="00666827" w:rsidP="00666827">
            <w:pPr>
              <w:spacing w:after="8pt" w:line="12.70pt" w:lineRule="auto"/>
            </w:pPr>
            <w:r w:rsidRPr="00666827">
              <w:t>~753</w:t>
            </w:r>
          </w:p>
        </w:tc>
        <w:tc>
          <w:tcPr>
            <w:tcW w:w="0pt" w:type="dxa"/>
            <w:hideMark/>
          </w:tcPr>
          <w:p w14:paraId="2E44A2FF" w14:textId="77777777" w:rsidR="00666827" w:rsidRPr="00666827" w:rsidRDefault="00666827" w:rsidP="00666827">
            <w:pPr>
              <w:spacing w:after="8pt" w:line="12.70pt" w:lineRule="auto"/>
            </w:pPr>
            <w:r w:rsidRPr="00666827">
              <w:rPr>
                <w:b/>
                <w:bCs/>
              </w:rPr>
              <w:t>~1,8 %</w:t>
            </w:r>
          </w:p>
        </w:tc>
      </w:tr>
      <w:tr w:rsidR="00666827" w:rsidRPr="00666827" w14:paraId="2128F179" w14:textId="77777777" w:rsidTr="00791636">
        <w:tc>
          <w:tcPr>
            <w:tcW w:w="0pt" w:type="dxa"/>
            <w:hideMark/>
          </w:tcPr>
          <w:p w14:paraId="6AB4E817" w14:textId="77777777" w:rsidR="00666827" w:rsidRPr="00666827" w:rsidRDefault="00666827" w:rsidP="00666827">
            <w:pPr>
              <w:spacing w:after="8pt" w:line="12.70pt" w:lineRule="auto"/>
            </w:pPr>
            <w:r w:rsidRPr="00666827">
              <w:rPr>
                <w:b/>
                <w:bCs/>
              </w:rPr>
              <w:t>Total</w:t>
            </w:r>
          </w:p>
        </w:tc>
        <w:tc>
          <w:tcPr>
            <w:tcW w:w="0pt" w:type="dxa"/>
            <w:hideMark/>
          </w:tcPr>
          <w:p w14:paraId="3938ABF3" w14:textId="77777777" w:rsidR="00666827" w:rsidRPr="00666827" w:rsidRDefault="00666827" w:rsidP="00666827">
            <w:pPr>
              <w:spacing w:after="8pt" w:line="12.70pt" w:lineRule="auto"/>
            </w:pPr>
            <w:r w:rsidRPr="00666827">
              <w:t>~42 172</w:t>
            </w:r>
          </w:p>
        </w:tc>
        <w:tc>
          <w:tcPr>
            <w:tcW w:w="0pt" w:type="dxa"/>
            <w:hideMark/>
          </w:tcPr>
          <w:p w14:paraId="4E294AD7" w14:textId="77777777" w:rsidR="00666827" w:rsidRPr="00666827" w:rsidRDefault="00666827" w:rsidP="00666827">
            <w:pPr>
              <w:spacing w:after="8pt" w:line="12.70pt" w:lineRule="auto"/>
            </w:pPr>
            <w:r w:rsidRPr="00666827">
              <w:rPr>
                <w:b/>
                <w:bCs/>
              </w:rPr>
              <w:t>100 %</w:t>
            </w:r>
          </w:p>
        </w:tc>
      </w:tr>
    </w:tbl>
    <w:p w14:paraId="08B91F84" w14:textId="77777777" w:rsidR="00666827" w:rsidRPr="005A6367" w:rsidRDefault="00666827" w:rsidP="005A6367"/>
    <w:p w14:paraId="511BE7F7" w14:textId="77777777" w:rsidR="005A6367" w:rsidRPr="005A6367" w:rsidRDefault="005A6367" w:rsidP="005A6367"/>
    <w:p w14:paraId="4AA880F3" w14:textId="587513BA" w:rsidR="006331E8" w:rsidRDefault="001B1735" w:rsidP="005569DB">
      <w:r w:rsidRPr="001B1735">
        <w:t>Le camembert met en évidence trois éléments majeurs :</w:t>
      </w:r>
    </w:p>
    <w:p w14:paraId="145C2D4D" w14:textId="65763AB7" w:rsidR="00293DBE" w:rsidRDefault="00293DBE" w:rsidP="00293DBE">
      <w:pPr>
        <w:pStyle w:val="Paragraphedeliste"/>
        <w:numPr>
          <w:ilvl w:val="0"/>
          <w:numId w:val="12"/>
        </w:numPr>
      </w:pPr>
      <w:r w:rsidRPr="00293DBE">
        <w:rPr>
          <w:b/>
          <w:bCs/>
        </w:rPr>
        <w:t>La domination écrasante du nucléaire</w:t>
      </w:r>
      <w:r w:rsidRPr="00293DBE">
        <w:t xml:space="preserve"> (~82 % en moyenne), qui constitue le </w:t>
      </w:r>
      <w:r w:rsidRPr="00293DBE">
        <w:rPr>
          <w:b/>
          <w:bCs/>
        </w:rPr>
        <w:t>socle historique</w:t>
      </w:r>
      <w:r w:rsidRPr="00293DBE">
        <w:t xml:space="preserve"> du système électrique français. Cette singularité — unique en Europe — découle des choix énergétiques effectués dans les années 1970-1980 (plan Messmer).</w:t>
      </w:r>
    </w:p>
    <w:p w14:paraId="77BC45EB" w14:textId="2F4B42A4" w:rsidR="00293DBE" w:rsidRDefault="00293DBE" w:rsidP="00293DBE">
      <w:pPr>
        <w:pStyle w:val="Paragraphedeliste"/>
        <w:numPr>
          <w:ilvl w:val="0"/>
          <w:numId w:val="12"/>
        </w:numPr>
      </w:pPr>
      <w:r w:rsidRPr="00293DBE">
        <w:rPr>
          <w:b/>
          <w:bCs/>
        </w:rPr>
        <w:t>L'hydraulique en deuxième position</w:t>
      </w:r>
      <w:r w:rsidRPr="00293DBE">
        <w:t xml:space="preserve"> (~12,5 %), source renouvelable historique reposant sur les </w:t>
      </w:r>
      <w:r w:rsidRPr="00293DBE">
        <w:rPr>
          <w:b/>
          <w:bCs/>
        </w:rPr>
        <w:t>barrages alpins, pyrénéens et du Massif central</w:t>
      </w:r>
      <w:r w:rsidRPr="00293DBE">
        <w:t>.</w:t>
      </w:r>
    </w:p>
    <w:p w14:paraId="6FDDD9B7" w14:textId="77777777" w:rsidR="00127D70" w:rsidRDefault="00127D70" w:rsidP="00127D70">
      <w:pPr>
        <w:pStyle w:val="NormalWeb"/>
        <w:numPr>
          <w:ilvl w:val="0"/>
          <w:numId w:val="12"/>
        </w:numPr>
        <w:rPr>
          <w:rFonts w:ascii="Calibri" w:hAnsi="Calibri" w:cs="Calibri"/>
          <w:sz w:val="28"/>
          <w:szCs w:val="28"/>
        </w:rPr>
      </w:pPr>
      <w:r w:rsidRPr="00052CD5">
        <w:rPr>
          <w:rStyle w:val="lev"/>
          <w:rFonts w:ascii="Calibri" w:hAnsi="Calibri" w:cs="Calibri"/>
          <w:sz w:val="28"/>
          <w:szCs w:val="28"/>
        </w:rPr>
        <w:t>L'éolien et le solaire restent minoritaires en moyenne</w:t>
      </w:r>
      <w:r w:rsidRPr="00052CD5">
        <w:rPr>
          <w:rFonts w:ascii="Calibri" w:hAnsi="Calibri" w:cs="Calibri"/>
          <w:sz w:val="28"/>
          <w:szCs w:val="28"/>
        </w:rPr>
        <w:t xml:space="preserve"> (~5,6 % cumulés), mais cette moyenne </w:t>
      </w:r>
      <w:r w:rsidRPr="00052CD5">
        <w:rPr>
          <w:rStyle w:val="lev"/>
          <w:rFonts w:ascii="Calibri" w:hAnsi="Calibri" w:cs="Calibri"/>
          <w:sz w:val="28"/>
          <w:szCs w:val="28"/>
        </w:rPr>
        <w:t>masque leur forte croissance récente</w:t>
      </w:r>
      <w:r w:rsidRPr="00052CD5">
        <w:rPr>
          <w:rFonts w:ascii="Calibri" w:hAnsi="Calibri" w:cs="Calibri"/>
          <w:sz w:val="28"/>
          <w:szCs w:val="28"/>
        </w:rPr>
        <w:t xml:space="preserve"> (cf. section 3). Si l'on calculait la part moyenne </w:t>
      </w:r>
      <w:r w:rsidRPr="00052CD5">
        <w:rPr>
          <w:rStyle w:val="lev"/>
          <w:rFonts w:ascii="Calibri" w:hAnsi="Calibri" w:cs="Calibri"/>
          <w:sz w:val="28"/>
          <w:szCs w:val="28"/>
        </w:rPr>
        <w:t>uniquement sur 2020-2022</w:t>
      </w:r>
      <w:r w:rsidRPr="00052CD5">
        <w:rPr>
          <w:rFonts w:ascii="Calibri" w:hAnsi="Calibri" w:cs="Calibri"/>
          <w:sz w:val="28"/>
          <w:szCs w:val="28"/>
        </w:rPr>
        <w:t xml:space="preserve">, l'éolien et le solaire dépasseraient les </w:t>
      </w:r>
      <w:r w:rsidRPr="00052CD5">
        <w:rPr>
          <w:rStyle w:val="lev"/>
          <w:rFonts w:ascii="Calibri" w:hAnsi="Calibri" w:cs="Calibri"/>
          <w:sz w:val="28"/>
          <w:szCs w:val="28"/>
        </w:rPr>
        <w:t>10 %</w:t>
      </w:r>
      <w:r w:rsidRPr="00052CD5">
        <w:rPr>
          <w:rFonts w:ascii="Calibri" w:hAnsi="Calibri" w:cs="Calibri"/>
          <w:sz w:val="28"/>
          <w:szCs w:val="28"/>
        </w:rPr>
        <w:t xml:space="preserve"> du mix.</w:t>
      </w:r>
    </w:p>
    <w:p w14:paraId="17E55858" w14:textId="5F06EA5E" w:rsidR="00F60896" w:rsidRDefault="00F60896" w:rsidP="00F60896">
      <w:pPr>
        <w:pStyle w:val="Titre3"/>
      </w:pPr>
      <w:r>
        <w:t>4.2 Mise en perspective : un mix bas-carbone</w:t>
      </w:r>
    </w:p>
    <w:p w14:paraId="42FE0D8E" w14:textId="3F9AA218" w:rsidR="00F60896" w:rsidRDefault="000D0C2B" w:rsidP="00F60896">
      <w:r w:rsidRPr="000D0C2B">
        <w:t xml:space="preserve">Au-delà des chiffres, ce mix présente une caractéristique structurelle remarquable : </w:t>
      </w:r>
      <w:r w:rsidRPr="000D0C2B">
        <w:rPr>
          <w:b/>
          <w:bCs/>
        </w:rPr>
        <w:t>plus de 95 % de l'électricité produite en France est décarbonée</w:t>
      </w:r>
      <w:r w:rsidRPr="000D0C2B">
        <w:t xml:space="preserve"> (nucléaire + hydraulique + éolien + solaire), ce qui place la France parmi les pays européens </w:t>
      </w:r>
      <w:r w:rsidRPr="000D0C2B">
        <w:rPr>
          <w:b/>
          <w:bCs/>
        </w:rPr>
        <w:t>les moins émetteurs de CO2 par kWh produit</w:t>
      </w:r>
      <w:r w:rsidRPr="000D0C2B">
        <w:t>. Ce constat est essentiel pour les analyses ultérieures sur les émissions et la consommation énergétique globale (parties B et C).</w:t>
      </w:r>
    </w:p>
    <w:p w14:paraId="07A4FB9A" w14:textId="364B593A" w:rsidR="008021F9" w:rsidRDefault="005B359C" w:rsidP="008021F9">
      <w:pPr>
        <w:pStyle w:val="Titre2"/>
        <w:numPr>
          <w:ilvl w:val="0"/>
          <w:numId w:val="11"/>
        </w:numPr>
      </w:pPr>
      <w:r>
        <w:t>Conclusion de la Partie A</w:t>
      </w:r>
    </w:p>
    <w:p w14:paraId="5B728867" w14:textId="0B848EC8" w:rsidR="008021F9" w:rsidRDefault="008021F9" w:rsidP="008021F9">
      <w:r w:rsidRPr="008021F9">
        <w:t xml:space="preserve">L'analyse statistique de la production électrique française entre </w:t>
      </w:r>
      <w:r w:rsidRPr="008021F9">
        <w:rPr>
          <w:b/>
          <w:bCs/>
        </w:rPr>
        <w:t>2006 et 2022</w:t>
      </w:r>
      <w:r w:rsidRPr="008021F9">
        <w:t xml:space="preserve"> a permis de mettre en évidence </w:t>
      </w:r>
      <w:r w:rsidR="00DF347E">
        <w:rPr>
          <w:b/>
          <w:bCs/>
        </w:rPr>
        <w:t>quatre</w:t>
      </w:r>
      <w:r w:rsidRPr="008021F9">
        <w:rPr>
          <w:b/>
          <w:bCs/>
        </w:rPr>
        <w:t xml:space="preserve"> grands enseignements</w:t>
      </w:r>
      <w:r w:rsidRPr="008021F9">
        <w:t xml:space="preserve"> :</w:t>
      </w:r>
    </w:p>
    <w:p w14:paraId="4BE9F000" w14:textId="77777777" w:rsidR="00DF347E" w:rsidRDefault="00DF347E" w:rsidP="008021F9"/>
    <w:p w14:paraId="113E0476" w14:textId="1A0B7F4D" w:rsidR="00DF347E" w:rsidRDefault="00DF347E" w:rsidP="00DF347E">
      <w:pPr>
        <w:pStyle w:val="Paragraphedeliste"/>
        <w:numPr>
          <w:ilvl w:val="0"/>
          <w:numId w:val="14"/>
        </w:numPr>
      </w:pPr>
      <w:r w:rsidRPr="00DF347E">
        <w:t>Un mix électrique historiquement dominé par le nucléaire</w:t>
      </w:r>
      <w:r w:rsidR="005113A1">
        <w:t xml:space="preserve"> : </w:t>
      </w:r>
      <w:r w:rsidR="005113A1" w:rsidRPr="005113A1">
        <w:t xml:space="preserve">Avec environ </w:t>
      </w:r>
      <w:r w:rsidR="005113A1" w:rsidRPr="005113A1">
        <w:rPr>
          <w:b/>
          <w:bCs/>
        </w:rPr>
        <w:t>82 % de la production moyenne</w:t>
      </w:r>
      <w:r w:rsidR="005113A1" w:rsidRPr="005113A1">
        <w:t xml:space="preserve">, le nucléaire constitue le pilier du système électrique français. L'hydraulique apporte un complément stable (~12,5 %), tandis que les énergies éolienne et solaire, bien qu'en forte </w:t>
      </w:r>
      <w:r w:rsidR="005113A1" w:rsidRPr="005113A1">
        <w:lastRenderedPageBreak/>
        <w:t xml:space="preserve">croissance, ne pesaient encore qu'environ </w:t>
      </w:r>
      <w:r w:rsidR="005113A1" w:rsidRPr="005113A1">
        <w:rPr>
          <w:b/>
          <w:bCs/>
        </w:rPr>
        <w:t>5,6 %</w:t>
      </w:r>
      <w:r w:rsidR="005113A1" w:rsidRPr="005113A1">
        <w:t xml:space="preserve"> sur la moyenne de la période.</w:t>
      </w:r>
    </w:p>
    <w:p w14:paraId="335E681A" w14:textId="77777777" w:rsidR="005113A1" w:rsidRDefault="005113A1" w:rsidP="005113A1">
      <w:pPr>
        <w:pStyle w:val="Paragraphedeliste"/>
      </w:pPr>
    </w:p>
    <w:p w14:paraId="3DFB79E9" w14:textId="77777777" w:rsidR="00316B91" w:rsidRPr="00316B91" w:rsidRDefault="00DF347E" w:rsidP="00316B91">
      <w:pPr>
        <w:pStyle w:val="Paragraphedeliste"/>
        <w:numPr>
          <w:ilvl w:val="0"/>
          <w:numId w:val="14"/>
        </w:numPr>
      </w:pPr>
      <w:r w:rsidRPr="00DF347E">
        <w:t>Une transformation progressive sous l'effet de la transition énergétique</w:t>
      </w:r>
      <w:r w:rsidR="00316B91">
        <w:t xml:space="preserve"> : </w:t>
      </w:r>
      <w:r w:rsidR="00316B91" w:rsidRPr="00316B91">
        <w:t xml:space="preserve">Les analyses temporelles (section 3) révèlent une </w:t>
      </w:r>
      <w:r w:rsidR="00316B91" w:rsidRPr="00316B91">
        <w:rPr>
          <w:b/>
          <w:bCs/>
        </w:rPr>
        <w:t>dynamique nette</w:t>
      </w:r>
      <w:r w:rsidR="00316B91" w:rsidRPr="00316B91">
        <w:t xml:space="preserve"> :</w:t>
      </w:r>
    </w:p>
    <w:p w14:paraId="7380B4D6" w14:textId="77777777" w:rsidR="00316B91" w:rsidRPr="00316B91" w:rsidRDefault="00316B91" w:rsidP="00316B91">
      <w:pPr>
        <w:pStyle w:val="Paragraphedeliste"/>
      </w:pPr>
      <w:r w:rsidRPr="00316B91">
        <w:t xml:space="preserve">L'éolien a vu sa production </w:t>
      </w:r>
      <w:r w:rsidRPr="00316B91">
        <w:rPr>
          <w:b/>
          <w:bCs/>
        </w:rPr>
        <w:t>multipliée par 17</w:t>
      </w:r>
      <w:r w:rsidRPr="00316B91">
        <w:t xml:space="preserve"> entre 2006 et 2022.</w:t>
      </w:r>
    </w:p>
    <w:p w14:paraId="2BA663BD" w14:textId="0A64A830" w:rsidR="00316B91" w:rsidRPr="00316B91" w:rsidRDefault="00316B91" w:rsidP="00316B91">
      <w:pPr>
        <w:pStyle w:val="Paragraphedeliste"/>
      </w:pPr>
      <w:r w:rsidRPr="00316B91">
        <w:t xml:space="preserve">Le solaire, parti de zéro en 2010, a atteint </w:t>
      </w:r>
      <w:r w:rsidRPr="00316B91">
        <w:rPr>
          <w:b/>
          <w:bCs/>
        </w:rPr>
        <w:t>près de 1 600 GWh mensuels</w:t>
      </w:r>
      <w:r w:rsidRPr="00316B91">
        <w:t xml:space="preserve"> </w:t>
      </w:r>
      <w:r>
        <w:t>en</w:t>
      </w:r>
      <w:r w:rsidRPr="00316B91">
        <w:t xml:space="preserve"> fin de période.</w:t>
      </w:r>
    </w:p>
    <w:p w14:paraId="294D1604" w14:textId="77777777" w:rsidR="00316B91" w:rsidRPr="00316B91" w:rsidRDefault="00316B91" w:rsidP="00316B91">
      <w:pPr>
        <w:pStyle w:val="Paragraphedeliste"/>
      </w:pPr>
      <w:r w:rsidRPr="00316B91">
        <w:t xml:space="preserve">À l'inverse, la </w:t>
      </w:r>
      <w:r w:rsidRPr="00316B91">
        <w:rPr>
          <w:b/>
          <w:bCs/>
        </w:rPr>
        <w:t>production nucléaire a chuté d'environ 35 %</w:t>
      </w:r>
      <w:r w:rsidRPr="00316B91">
        <w:t>, marquant la fin d'une ère de production stable et abondante.</w:t>
      </w:r>
    </w:p>
    <w:p w14:paraId="73D10833" w14:textId="0D524E74" w:rsidR="00DF347E" w:rsidRDefault="00DF347E" w:rsidP="00316B91">
      <w:pPr>
        <w:pStyle w:val="Paragraphedeliste"/>
      </w:pPr>
    </w:p>
    <w:p w14:paraId="62196AB4" w14:textId="77777777" w:rsidR="00076967" w:rsidRDefault="00DF347E" w:rsidP="00404CB1">
      <w:pPr>
        <w:pStyle w:val="Paragraphedeliste"/>
        <w:numPr>
          <w:ilvl w:val="0"/>
          <w:numId w:val="14"/>
        </w:numPr>
      </w:pPr>
      <w:r w:rsidRPr="00DF347E">
        <w:t>Des saisonnalités contrastées mais complémentaires</w:t>
      </w:r>
      <w:r w:rsidR="00316B91">
        <w:t> :</w:t>
      </w:r>
      <w:r w:rsidR="00404CB1">
        <w:t xml:space="preserve"> </w:t>
      </w:r>
    </w:p>
    <w:p w14:paraId="7313FEAE" w14:textId="5EF7C3A5" w:rsidR="00404CB1" w:rsidRPr="00404CB1" w:rsidRDefault="00404CB1" w:rsidP="00076967">
      <w:pPr>
        <w:ind w:firstLine="35.40pt"/>
      </w:pPr>
      <w:r w:rsidRPr="00404CB1">
        <w:t>Chaque source présente sa propre signature saisonnière :</w:t>
      </w:r>
    </w:p>
    <w:p w14:paraId="611E506C" w14:textId="77777777" w:rsidR="00404CB1" w:rsidRPr="00404CB1" w:rsidRDefault="00404CB1" w:rsidP="00076967">
      <w:pPr>
        <w:pStyle w:val="Paragraphedeliste"/>
        <w:numPr>
          <w:ilvl w:val="0"/>
          <w:numId w:val="20"/>
        </w:numPr>
      </w:pPr>
      <w:r w:rsidRPr="00076967">
        <w:rPr>
          <w:b/>
          <w:bCs/>
        </w:rPr>
        <w:t>Hydraulique</w:t>
      </w:r>
      <w:r w:rsidRPr="00404CB1">
        <w:t xml:space="preserve"> : pic au printemps (fonte des neiges)</w:t>
      </w:r>
    </w:p>
    <w:p w14:paraId="630018C6" w14:textId="77777777" w:rsidR="00404CB1" w:rsidRPr="00404CB1" w:rsidRDefault="00404CB1" w:rsidP="00076967">
      <w:pPr>
        <w:pStyle w:val="Paragraphedeliste"/>
        <w:numPr>
          <w:ilvl w:val="0"/>
          <w:numId w:val="20"/>
        </w:numPr>
      </w:pPr>
      <w:r w:rsidRPr="00076967">
        <w:rPr>
          <w:b/>
          <w:bCs/>
        </w:rPr>
        <w:t>Éolien</w:t>
      </w:r>
      <w:r w:rsidRPr="00404CB1">
        <w:t xml:space="preserve"> : pic en hiver (vents forts)</w:t>
      </w:r>
    </w:p>
    <w:p w14:paraId="15C34018" w14:textId="77777777" w:rsidR="00404CB1" w:rsidRPr="00404CB1" w:rsidRDefault="00404CB1" w:rsidP="00076967">
      <w:pPr>
        <w:pStyle w:val="Paragraphedeliste"/>
        <w:numPr>
          <w:ilvl w:val="0"/>
          <w:numId w:val="20"/>
        </w:numPr>
      </w:pPr>
      <w:r w:rsidRPr="00076967">
        <w:rPr>
          <w:b/>
          <w:bCs/>
        </w:rPr>
        <w:t>Solaire</w:t>
      </w:r>
      <w:r w:rsidRPr="00404CB1">
        <w:t xml:space="preserve"> : pic en été (ensoleillement)</w:t>
      </w:r>
    </w:p>
    <w:p w14:paraId="7E7E9C3A" w14:textId="77777777" w:rsidR="00404CB1" w:rsidRPr="00404CB1" w:rsidRDefault="00404CB1" w:rsidP="00076967">
      <w:pPr>
        <w:pStyle w:val="Paragraphedeliste"/>
        <w:numPr>
          <w:ilvl w:val="0"/>
          <w:numId w:val="20"/>
        </w:numPr>
      </w:pPr>
      <w:r w:rsidRPr="00076967">
        <w:rPr>
          <w:b/>
          <w:bCs/>
        </w:rPr>
        <w:t>Nucléaire</w:t>
      </w:r>
      <w:r w:rsidRPr="00404CB1">
        <w:t xml:space="preserve"> : creux en été (maintenance)</w:t>
      </w:r>
    </w:p>
    <w:p w14:paraId="5A3C5029" w14:textId="77777777" w:rsidR="00404CB1" w:rsidRPr="00404CB1" w:rsidRDefault="00404CB1" w:rsidP="00076967">
      <w:pPr>
        <w:pStyle w:val="Paragraphedeliste"/>
        <w:numPr>
          <w:ilvl w:val="0"/>
          <w:numId w:val="20"/>
        </w:numPr>
      </w:pPr>
      <w:r w:rsidRPr="00404CB1">
        <w:t xml:space="preserve">Cette </w:t>
      </w:r>
      <w:r w:rsidRPr="00076967">
        <w:rPr>
          <w:b/>
          <w:bCs/>
        </w:rPr>
        <w:t>complémentarité naturelle</w:t>
      </w:r>
      <w:r w:rsidRPr="00404CB1">
        <w:t xml:space="preserve"> entre les sources est un atout pour la </w:t>
      </w:r>
      <w:r w:rsidRPr="00076967">
        <w:rPr>
          <w:b/>
          <w:bCs/>
        </w:rPr>
        <w:t>stabilité du mix</w:t>
      </w:r>
      <w:r w:rsidRPr="00404CB1">
        <w:t xml:space="preserve"> et la sécurité d'approvisionnement.</w:t>
      </w:r>
    </w:p>
    <w:p w14:paraId="21BAE6D0" w14:textId="56DC0EBC" w:rsidR="00316B91" w:rsidRDefault="00316B91" w:rsidP="00404CB1">
      <w:pPr>
        <w:pStyle w:val="Paragraphedeliste"/>
      </w:pPr>
    </w:p>
    <w:p w14:paraId="7F1804D8" w14:textId="34675A87" w:rsidR="00793B46" w:rsidRDefault="00793B46" w:rsidP="00DF347E">
      <w:pPr>
        <w:pStyle w:val="Paragraphedeliste"/>
        <w:numPr>
          <w:ilvl w:val="0"/>
          <w:numId w:val="14"/>
        </w:numPr>
      </w:pPr>
      <w:r w:rsidRPr="00793B46">
        <w:t>L'année 2022 : un point de bascule</w:t>
      </w:r>
      <w:r w:rsidR="00404CB1">
        <w:t> :</w:t>
      </w:r>
    </w:p>
    <w:p w14:paraId="2D633172" w14:textId="77777777" w:rsidR="00404CB1" w:rsidRPr="00404CB1" w:rsidRDefault="00404CB1" w:rsidP="00404CB1">
      <w:pPr>
        <w:pStyle w:val="Paragraphedeliste"/>
      </w:pPr>
      <w:r w:rsidRPr="00404CB1">
        <w:t>Plusieurs indicateurs convergent en 2022 :</w:t>
      </w:r>
    </w:p>
    <w:p w14:paraId="516CACD1" w14:textId="77777777" w:rsidR="00404CB1" w:rsidRPr="00404CB1" w:rsidRDefault="00404CB1" w:rsidP="00404CB1">
      <w:pPr>
        <w:pStyle w:val="Paragraphedeliste"/>
        <w:numPr>
          <w:ilvl w:val="0"/>
          <w:numId w:val="19"/>
        </w:numPr>
      </w:pPr>
      <w:r w:rsidRPr="00404CB1">
        <w:t>Effondrement de la production nucléaire (crise de corrosion sous contrainte)</w:t>
      </w:r>
    </w:p>
    <w:p w14:paraId="512EB5ED" w14:textId="77777777" w:rsidR="00404CB1" w:rsidRPr="00404CB1" w:rsidRDefault="00404CB1" w:rsidP="00404CB1">
      <w:pPr>
        <w:pStyle w:val="Paragraphedeliste"/>
        <w:numPr>
          <w:ilvl w:val="0"/>
          <w:numId w:val="19"/>
        </w:numPr>
      </w:pPr>
      <w:r w:rsidRPr="00404CB1">
        <w:t>Sécheresse exceptionnelle (baisse de l'hydraulique)</w:t>
      </w:r>
    </w:p>
    <w:p w14:paraId="08062370" w14:textId="77777777" w:rsidR="00404CB1" w:rsidRPr="00404CB1" w:rsidRDefault="00404CB1" w:rsidP="00404CB1">
      <w:pPr>
        <w:pStyle w:val="Paragraphedeliste"/>
        <w:numPr>
          <w:ilvl w:val="0"/>
          <w:numId w:val="19"/>
        </w:numPr>
      </w:pPr>
      <w:r w:rsidRPr="00404CB1">
        <w:t xml:space="preserve">France devenue </w:t>
      </w:r>
      <w:r w:rsidRPr="00404CB1">
        <w:rPr>
          <w:b/>
          <w:bCs/>
        </w:rPr>
        <w:t>importatrice nette d'électricité</w:t>
      </w:r>
      <w:r w:rsidRPr="00404CB1">
        <w:t xml:space="preserve"> pour la première fois depuis des décennies</w:t>
      </w:r>
    </w:p>
    <w:p w14:paraId="6E8A2719" w14:textId="77777777" w:rsidR="00404CB1" w:rsidRDefault="00404CB1" w:rsidP="00404CB1">
      <w:pPr>
        <w:pStyle w:val="Paragraphedeliste"/>
      </w:pPr>
      <w:r w:rsidRPr="00404CB1">
        <w:t xml:space="preserve">Ces événements illustrent la </w:t>
      </w:r>
      <w:r w:rsidRPr="00404CB1">
        <w:rPr>
          <w:b/>
          <w:bCs/>
        </w:rPr>
        <w:t>fragilité du système électrique</w:t>
      </w:r>
      <w:r w:rsidRPr="00404CB1">
        <w:t xml:space="preserve"> face à la conjonction de chocs structurels et conjoncturels.</w:t>
      </w:r>
    </w:p>
    <w:p w14:paraId="11BD394C" w14:textId="77777777" w:rsidR="00107B11" w:rsidRDefault="00107B11" w:rsidP="00404CB1">
      <w:pPr>
        <w:pStyle w:val="Paragraphedeliste"/>
      </w:pPr>
    </w:p>
    <w:p w14:paraId="2C1B0E19" w14:textId="40378AB3" w:rsidR="00107B11" w:rsidRDefault="00107B11" w:rsidP="00404CB1">
      <w:pPr>
        <w:pStyle w:val="Paragraphedeliste"/>
      </w:pPr>
      <w:r>
        <w:t>Cette analyse de la production appelle naturellement deux questionnements complémentaires, qui seront explorés dans les parties suivantes :</w:t>
      </w:r>
    </w:p>
    <w:p w14:paraId="3B66D14F" w14:textId="36D8B230" w:rsidR="00107B11" w:rsidRDefault="00E20637" w:rsidP="00E20637">
      <w:pPr>
        <w:pStyle w:val="Paragraphedeliste"/>
        <w:numPr>
          <w:ilvl w:val="0"/>
          <w:numId w:val="21"/>
        </w:numPr>
      </w:pPr>
      <w:r w:rsidRPr="00E20637">
        <w:rPr>
          <w:b/>
          <w:bCs/>
        </w:rPr>
        <w:t>Partie B</w:t>
      </w:r>
      <w:r w:rsidRPr="00E20637">
        <w:t xml:space="preserve"> : comment la </w:t>
      </w:r>
      <w:r w:rsidRPr="00E20637">
        <w:rPr>
          <w:b/>
          <w:bCs/>
        </w:rPr>
        <w:t>consommation électrique</w:t>
      </w:r>
      <w:r w:rsidRPr="00E20637">
        <w:t xml:space="preserve"> évolue-t-elle, et dans quelle mesure dépend-elle du </w:t>
      </w:r>
      <w:r w:rsidRPr="00E20637">
        <w:rPr>
          <w:b/>
          <w:bCs/>
        </w:rPr>
        <w:t>climat</w:t>
      </w:r>
      <w:r w:rsidRPr="00E20637">
        <w:t xml:space="preserve"> ?</w:t>
      </w:r>
    </w:p>
    <w:p w14:paraId="6F5F3146" w14:textId="04D28CC8" w:rsidR="00E20637" w:rsidRPr="00404CB1" w:rsidRDefault="00E20637" w:rsidP="00E20637">
      <w:pPr>
        <w:pStyle w:val="Paragraphedeliste"/>
        <w:numPr>
          <w:ilvl w:val="0"/>
          <w:numId w:val="21"/>
        </w:numPr>
      </w:pPr>
      <w:r w:rsidRPr="00E20637">
        <w:rPr>
          <w:b/>
          <w:bCs/>
        </w:rPr>
        <w:t>Partie C</w:t>
      </w:r>
      <w:r w:rsidRPr="00E20637">
        <w:t xml:space="preserve"> : quel est l'impact du mix énergétique global sur les </w:t>
      </w:r>
      <w:r w:rsidRPr="00E20637">
        <w:rPr>
          <w:b/>
          <w:bCs/>
        </w:rPr>
        <w:t>émissions de CO2</w:t>
      </w:r>
      <w:r w:rsidRPr="00E20637">
        <w:t xml:space="preserve"> et l'</w:t>
      </w:r>
      <w:r w:rsidRPr="00E20637">
        <w:rPr>
          <w:b/>
          <w:bCs/>
        </w:rPr>
        <w:t>indépendance énergétique</w:t>
      </w:r>
      <w:r w:rsidRPr="00E20637">
        <w:t xml:space="preserve"> de la France ?</w:t>
      </w:r>
    </w:p>
    <w:p w14:paraId="74F11E3B" w14:textId="77777777" w:rsidR="00404CB1" w:rsidRPr="008021F9" w:rsidRDefault="00404CB1" w:rsidP="00404CB1">
      <w:pPr>
        <w:pStyle w:val="Paragraphedeliste"/>
      </w:pPr>
    </w:p>
    <w:p w14:paraId="43060F80" w14:textId="77777777" w:rsidR="005B359C" w:rsidRPr="005B359C" w:rsidRDefault="005B359C" w:rsidP="005B359C"/>
    <w:p w14:paraId="63A19467" w14:textId="77777777" w:rsidR="00127D70" w:rsidRPr="00293DBE" w:rsidRDefault="00127D70" w:rsidP="00052CD5">
      <w:pPr>
        <w:pStyle w:val="Paragraphedeliste"/>
      </w:pPr>
    </w:p>
    <w:p w14:paraId="6A71B575" w14:textId="2D7D5539" w:rsidR="00703C5C" w:rsidRPr="00703C5C" w:rsidRDefault="00703C5C" w:rsidP="00703C5C">
      <w:pPr>
        <w:ind w:start="18pt"/>
        <w:rPr>
          <w:szCs w:val="28"/>
        </w:rPr>
      </w:pPr>
    </w:p>
    <w:p w14:paraId="1CC505F3" w14:textId="77777777" w:rsidR="008F7D51" w:rsidRDefault="008F7D51"/>
    <w:sectPr w:rsidR="008F7D51">
      <w:pgSz w:w="595.30pt" w:h="841.90pt"/>
      <w:pgMar w:top="70.85pt" w:right="70.85pt" w:bottom="70.85pt" w:left="70.85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BB4B60C" w14:textId="77777777" w:rsidR="00D465F1" w:rsidRDefault="00D465F1">
      <w:pPr>
        <w:spacing w:after="0pt" w:line="12pt" w:lineRule="auto"/>
      </w:pPr>
      <w:r>
        <w:separator/>
      </w:r>
    </w:p>
  </w:endnote>
  <w:endnote w:type="continuationSeparator" w:id="0">
    <w:p w14:paraId="2E5D82F5" w14:textId="77777777" w:rsidR="00D465F1" w:rsidRDefault="00D465F1">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91D521A" w14:textId="77777777" w:rsidR="00D465F1" w:rsidRDefault="00D465F1">
      <w:pPr>
        <w:spacing w:after="0pt" w:line="12pt" w:lineRule="auto"/>
      </w:pPr>
      <w:r>
        <w:rPr>
          <w:color w:val="000000"/>
        </w:rPr>
        <w:separator/>
      </w:r>
    </w:p>
  </w:footnote>
  <w:footnote w:type="continuationSeparator" w:id="0">
    <w:p w14:paraId="72FD81E7" w14:textId="77777777" w:rsidR="00D465F1" w:rsidRDefault="00D465F1">
      <w:pPr>
        <w:spacing w:after="0pt" w:line="12pt" w:lineRule="auto"/>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4777167"/>
    <w:multiLevelType w:val="multilevel"/>
    <w:tmpl w:val="AFA83742"/>
    <w:lvl w:ilvl="0">
      <w:numFmt w:val="bullet"/>
      <w:lvlText w:val=""/>
      <w:lvlJc w:val="start"/>
      <w:pPr>
        <w:ind w:start="54pt" w:hanging="18pt"/>
      </w:pPr>
      <w:rPr>
        <w:rFonts w:ascii="Symbol" w:hAnsi="Symbol"/>
      </w:rPr>
    </w:lvl>
    <w:lvl w:ilvl="1">
      <w:numFmt w:val="bullet"/>
      <w:lvlText w:val="o"/>
      <w:lvlJc w:val="start"/>
      <w:pPr>
        <w:ind w:start="90pt" w:hanging="18pt"/>
      </w:pPr>
      <w:rPr>
        <w:rFonts w:ascii="Courier New" w:hAnsi="Courier New" w:cs="Courier New"/>
      </w:rPr>
    </w:lvl>
    <w:lvl w:ilvl="2">
      <w:numFmt w:val="bullet"/>
      <w:lvlText w:val=""/>
      <w:lvlJc w:val="start"/>
      <w:pPr>
        <w:ind w:start="126pt" w:hanging="18pt"/>
      </w:pPr>
      <w:rPr>
        <w:rFonts w:ascii="Wingdings" w:hAnsi="Wingdings"/>
      </w:rPr>
    </w:lvl>
    <w:lvl w:ilvl="3">
      <w:numFmt w:val="bullet"/>
      <w:lvlText w:val=""/>
      <w:lvlJc w:val="start"/>
      <w:pPr>
        <w:ind w:start="162pt" w:hanging="18pt"/>
      </w:pPr>
      <w:rPr>
        <w:rFonts w:ascii="Symbol" w:hAnsi="Symbol"/>
      </w:rPr>
    </w:lvl>
    <w:lvl w:ilvl="4">
      <w:numFmt w:val="bullet"/>
      <w:lvlText w:val="o"/>
      <w:lvlJc w:val="start"/>
      <w:pPr>
        <w:ind w:start="198pt" w:hanging="18pt"/>
      </w:pPr>
      <w:rPr>
        <w:rFonts w:ascii="Courier New" w:hAnsi="Courier New" w:cs="Courier New"/>
      </w:rPr>
    </w:lvl>
    <w:lvl w:ilvl="5">
      <w:numFmt w:val="bullet"/>
      <w:lvlText w:val=""/>
      <w:lvlJc w:val="start"/>
      <w:pPr>
        <w:ind w:start="234pt" w:hanging="18pt"/>
      </w:pPr>
      <w:rPr>
        <w:rFonts w:ascii="Wingdings" w:hAnsi="Wingdings"/>
      </w:rPr>
    </w:lvl>
    <w:lvl w:ilvl="6">
      <w:numFmt w:val="bullet"/>
      <w:lvlText w:val=""/>
      <w:lvlJc w:val="start"/>
      <w:pPr>
        <w:ind w:start="270pt" w:hanging="18pt"/>
      </w:pPr>
      <w:rPr>
        <w:rFonts w:ascii="Symbol" w:hAnsi="Symbol"/>
      </w:rPr>
    </w:lvl>
    <w:lvl w:ilvl="7">
      <w:numFmt w:val="bullet"/>
      <w:lvlText w:val="o"/>
      <w:lvlJc w:val="start"/>
      <w:pPr>
        <w:ind w:start="306pt" w:hanging="18pt"/>
      </w:pPr>
      <w:rPr>
        <w:rFonts w:ascii="Courier New" w:hAnsi="Courier New" w:cs="Courier New"/>
      </w:rPr>
    </w:lvl>
    <w:lvl w:ilvl="8">
      <w:numFmt w:val="bullet"/>
      <w:lvlText w:val=""/>
      <w:lvlJc w:val="start"/>
      <w:pPr>
        <w:ind w:start="342pt" w:hanging="18pt"/>
      </w:pPr>
      <w:rPr>
        <w:rFonts w:ascii="Wingdings" w:hAnsi="Wingdings"/>
      </w:rPr>
    </w:lvl>
  </w:abstractNum>
  <w:abstractNum w:abstractNumId="1" w15:restartNumberingAfterBreak="0">
    <w:nsid w:val="08247EDB"/>
    <w:multiLevelType w:val="multilevel"/>
    <w:tmpl w:val="B21EDEE4"/>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cs="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cs="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cs="Courier New"/>
      </w:rPr>
    </w:lvl>
    <w:lvl w:ilvl="8">
      <w:numFmt w:val="bullet"/>
      <w:lvlText w:val=""/>
      <w:lvlJc w:val="start"/>
      <w:pPr>
        <w:ind w:start="324pt" w:hanging="18pt"/>
      </w:pPr>
      <w:rPr>
        <w:rFonts w:ascii="Wingdings" w:hAnsi="Wingdings"/>
      </w:rPr>
    </w:lvl>
  </w:abstractNum>
  <w:abstractNum w:abstractNumId="2" w15:restartNumberingAfterBreak="0">
    <w:nsid w:val="08E26E4F"/>
    <w:multiLevelType w:val="hybridMultilevel"/>
    <w:tmpl w:val="26B09D84"/>
    <w:lvl w:ilvl="0" w:tplc="040C0001">
      <w:start w:val="1"/>
      <w:numFmt w:val="bullet"/>
      <w:lvlText w:val=""/>
      <w:lvlJc w:val="start"/>
      <w:pPr>
        <w:ind w:start="54pt" w:hanging="18pt"/>
      </w:pPr>
      <w:rPr>
        <w:rFonts w:ascii="Symbol" w:hAnsi="Symbol" w:hint="default"/>
      </w:rPr>
    </w:lvl>
    <w:lvl w:ilvl="1" w:tplc="040C0003" w:tentative="1">
      <w:start w:val="1"/>
      <w:numFmt w:val="bullet"/>
      <w:lvlText w:val="o"/>
      <w:lvlJc w:val="start"/>
      <w:pPr>
        <w:ind w:start="90pt" w:hanging="18pt"/>
      </w:pPr>
      <w:rPr>
        <w:rFonts w:ascii="Courier New" w:hAnsi="Courier New" w:cs="Courier New" w:hint="default"/>
      </w:rPr>
    </w:lvl>
    <w:lvl w:ilvl="2" w:tplc="040C0005" w:tentative="1">
      <w:start w:val="1"/>
      <w:numFmt w:val="bullet"/>
      <w:lvlText w:val=""/>
      <w:lvlJc w:val="start"/>
      <w:pPr>
        <w:ind w:start="126pt" w:hanging="18pt"/>
      </w:pPr>
      <w:rPr>
        <w:rFonts w:ascii="Wingdings" w:hAnsi="Wingdings" w:hint="default"/>
      </w:rPr>
    </w:lvl>
    <w:lvl w:ilvl="3" w:tplc="040C0001" w:tentative="1">
      <w:start w:val="1"/>
      <w:numFmt w:val="bullet"/>
      <w:lvlText w:val=""/>
      <w:lvlJc w:val="start"/>
      <w:pPr>
        <w:ind w:start="162pt" w:hanging="18pt"/>
      </w:pPr>
      <w:rPr>
        <w:rFonts w:ascii="Symbol" w:hAnsi="Symbol" w:hint="default"/>
      </w:rPr>
    </w:lvl>
    <w:lvl w:ilvl="4" w:tplc="040C0003" w:tentative="1">
      <w:start w:val="1"/>
      <w:numFmt w:val="bullet"/>
      <w:lvlText w:val="o"/>
      <w:lvlJc w:val="start"/>
      <w:pPr>
        <w:ind w:start="198pt" w:hanging="18pt"/>
      </w:pPr>
      <w:rPr>
        <w:rFonts w:ascii="Courier New" w:hAnsi="Courier New" w:cs="Courier New" w:hint="default"/>
      </w:rPr>
    </w:lvl>
    <w:lvl w:ilvl="5" w:tplc="040C0005" w:tentative="1">
      <w:start w:val="1"/>
      <w:numFmt w:val="bullet"/>
      <w:lvlText w:val=""/>
      <w:lvlJc w:val="start"/>
      <w:pPr>
        <w:ind w:start="234pt" w:hanging="18pt"/>
      </w:pPr>
      <w:rPr>
        <w:rFonts w:ascii="Wingdings" w:hAnsi="Wingdings" w:hint="default"/>
      </w:rPr>
    </w:lvl>
    <w:lvl w:ilvl="6" w:tplc="040C0001" w:tentative="1">
      <w:start w:val="1"/>
      <w:numFmt w:val="bullet"/>
      <w:lvlText w:val=""/>
      <w:lvlJc w:val="start"/>
      <w:pPr>
        <w:ind w:start="270pt" w:hanging="18pt"/>
      </w:pPr>
      <w:rPr>
        <w:rFonts w:ascii="Symbol" w:hAnsi="Symbol" w:hint="default"/>
      </w:rPr>
    </w:lvl>
    <w:lvl w:ilvl="7" w:tplc="040C0003" w:tentative="1">
      <w:start w:val="1"/>
      <w:numFmt w:val="bullet"/>
      <w:lvlText w:val="o"/>
      <w:lvlJc w:val="start"/>
      <w:pPr>
        <w:ind w:start="306pt" w:hanging="18pt"/>
      </w:pPr>
      <w:rPr>
        <w:rFonts w:ascii="Courier New" w:hAnsi="Courier New" w:cs="Courier New" w:hint="default"/>
      </w:rPr>
    </w:lvl>
    <w:lvl w:ilvl="8" w:tplc="040C0005" w:tentative="1">
      <w:start w:val="1"/>
      <w:numFmt w:val="bullet"/>
      <w:lvlText w:val=""/>
      <w:lvlJc w:val="start"/>
      <w:pPr>
        <w:ind w:start="342pt" w:hanging="18pt"/>
      </w:pPr>
      <w:rPr>
        <w:rFonts w:ascii="Wingdings" w:hAnsi="Wingdings" w:hint="default"/>
      </w:rPr>
    </w:lvl>
  </w:abstractNum>
  <w:abstractNum w:abstractNumId="3" w15:restartNumberingAfterBreak="0">
    <w:nsid w:val="0C19501F"/>
    <w:multiLevelType w:val="hybridMultilevel"/>
    <w:tmpl w:val="6D4C9DFA"/>
    <w:lvl w:ilvl="0" w:tplc="040C000F">
      <w:start w:val="1"/>
      <w:numFmt w:val="decimal"/>
      <w:lvlText w:val="%1."/>
      <w:lvlJc w:val="start"/>
      <w:pPr>
        <w:ind w:start="36pt" w:hanging="18pt"/>
      </w:pPr>
      <w:rPr>
        <w:rFonts w:hint="default"/>
      </w:r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4" w15:restartNumberingAfterBreak="0">
    <w:nsid w:val="0FC93E4C"/>
    <w:multiLevelType w:val="multilevel"/>
    <w:tmpl w:val="2ECCC1C0"/>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cs="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cs="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cs="Courier New"/>
      </w:rPr>
    </w:lvl>
    <w:lvl w:ilvl="8">
      <w:numFmt w:val="bullet"/>
      <w:lvlText w:val=""/>
      <w:lvlJc w:val="start"/>
      <w:pPr>
        <w:ind w:start="324pt" w:hanging="18pt"/>
      </w:pPr>
      <w:rPr>
        <w:rFonts w:ascii="Wingdings" w:hAnsi="Wingdings"/>
      </w:rPr>
    </w:lvl>
  </w:abstractNum>
  <w:abstractNum w:abstractNumId="5" w15:restartNumberingAfterBreak="0">
    <w:nsid w:val="1C145C8D"/>
    <w:multiLevelType w:val="multilevel"/>
    <w:tmpl w:val="C56A0902"/>
    <w:lvl w:ilvl="0">
      <w:start w:val="1"/>
      <w:numFmt w:val="decimal"/>
      <w:lvlText w:val="%1."/>
      <w:lvlJc w:val="start"/>
      <w:pPr>
        <w:ind w:start="36pt" w:hanging="18pt"/>
      </w:pPr>
    </w:lvl>
    <w:lvl w:ilvl="1">
      <w:start w:val="1"/>
      <w:numFmt w:val="decimal"/>
      <w:lvlText w:val="%1.%2"/>
      <w:lvlJc w:val="start"/>
      <w:pPr>
        <w:ind w:start="39pt" w:hanging="21pt"/>
      </w:pPr>
    </w:lvl>
    <w:lvl w:ilvl="2">
      <w:start w:val="1"/>
      <w:numFmt w:val="decimal"/>
      <w:lvlText w:val="%1.%2.%3"/>
      <w:lvlJc w:val="start"/>
      <w:pPr>
        <w:ind w:start="54pt" w:hanging="36pt"/>
      </w:pPr>
    </w:lvl>
    <w:lvl w:ilvl="3">
      <w:start w:val="1"/>
      <w:numFmt w:val="decimal"/>
      <w:lvlText w:val="%1.%2.%3.%4"/>
      <w:lvlJc w:val="start"/>
      <w:pPr>
        <w:ind w:start="54pt" w:hanging="36pt"/>
      </w:pPr>
    </w:lvl>
    <w:lvl w:ilvl="4">
      <w:start w:val="1"/>
      <w:numFmt w:val="decimal"/>
      <w:lvlText w:val="%1.%2.%3.%4.%5"/>
      <w:lvlJc w:val="start"/>
      <w:pPr>
        <w:ind w:start="72pt" w:hanging="54pt"/>
      </w:pPr>
    </w:lvl>
    <w:lvl w:ilvl="5">
      <w:start w:val="1"/>
      <w:numFmt w:val="decimal"/>
      <w:lvlText w:val="%1.%2.%3.%4.%5.%6"/>
      <w:lvlJc w:val="start"/>
      <w:pPr>
        <w:ind w:start="72pt" w:hanging="54pt"/>
      </w:pPr>
    </w:lvl>
    <w:lvl w:ilvl="6">
      <w:start w:val="1"/>
      <w:numFmt w:val="decimal"/>
      <w:lvlText w:val="%1.%2.%3.%4.%5.%6.%7"/>
      <w:lvlJc w:val="start"/>
      <w:pPr>
        <w:ind w:start="90pt" w:hanging="72pt"/>
      </w:pPr>
    </w:lvl>
    <w:lvl w:ilvl="7">
      <w:start w:val="1"/>
      <w:numFmt w:val="decimal"/>
      <w:lvlText w:val="%1.%2.%3.%4.%5.%6.%7.%8"/>
      <w:lvlJc w:val="start"/>
      <w:pPr>
        <w:ind w:start="90pt" w:hanging="72pt"/>
      </w:pPr>
    </w:lvl>
    <w:lvl w:ilvl="8">
      <w:start w:val="1"/>
      <w:numFmt w:val="decimal"/>
      <w:lvlText w:val="%1.%2.%3.%4.%5.%6.%7.%8.%9"/>
      <w:lvlJc w:val="start"/>
      <w:pPr>
        <w:ind w:start="90pt" w:hanging="72pt"/>
      </w:pPr>
    </w:lvl>
  </w:abstractNum>
  <w:abstractNum w:abstractNumId="6" w15:restartNumberingAfterBreak="0">
    <w:nsid w:val="29111EE7"/>
    <w:multiLevelType w:val="hybridMultilevel"/>
    <w:tmpl w:val="8E3E7C18"/>
    <w:lvl w:ilvl="0" w:tplc="040C0001">
      <w:start w:val="1"/>
      <w:numFmt w:val="bullet"/>
      <w:lvlText w:val=""/>
      <w:lvlJc w:val="start"/>
      <w:pPr>
        <w:ind w:start="72pt" w:hanging="18pt"/>
      </w:pPr>
      <w:rPr>
        <w:rFonts w:ascii="Symbol" w:hAnsi="Symbol" w:hint="default"/>
      </w:rPr>
    </w:lvl>
    <w:lvl w:ilvl="1" w:tplc="040C0003" w:tentative="1">
      <w:start w:val="1"/>
      <w:numFmt w:val="bullet"/>
      <w:lvlText w:val="o"/>
      <w:lvlJc w:val="start"/>
      <w:pPr>
        <w:ind w:start="108pt" w:hanging="18pt"/>
      </w:pPr>
      <w:rPr>
        <w:rFonts w:ascii="Courier New" w:hAnsi="Courier New" w:cs="Courier New" w:hint="default"/>
      </w:rPr>
    </w:lvl>
    <w:lvl w:ilvl="2" w:tplc="040C0005" w:tentative="1">
      <w:start w:val="1"/>
      <w:numFmt w:val="bullet"/>
      <w:lvlText w:val=""/>
      <w:lvlJc w:val="start"/>
      <w:pPr>
        <w:ind w:start="144pt" w:hanging="18pt"/>
      </w:pPr>
      <w:rPr>
        <w:rFonts w:ascii="Wingdings" w:hAnsi="Wingdings" w:hint="default"/>
      </w:rPr>
    </w:lvl>
    <w:lvl w:ilvl="3" w:tplc="040C0001" w:tentative="1">
      <w:start w:val="1"/>
      <w:numFmt w:val="bullet"/>
      <w:lvlText w:val=""/>
      <w:lvlJc w:val="start"/>
      <w:pPr>
        <w:ind w:start="180pt" w:hanging="18pt"/>
      </w:pPr>
      <w:rPr>
        <w:rFonts w:ascii="Symbol" w:hAnsi="Symbol" w:hint="default"/>
      </w:rPr>
    </w:lvl>
    <w:lvl w:ilvl="4" w:tplc="040C0003" w:tentative="1">
      <w:start w:val="1"/>
      <w:numFmt w:val="bullet"/>
      <w:lvlText w:val="o"/>
      <w:lvlJc w:val="start"/>
      <w:pPr>
        <w:ind w:start="216pt" w:hanging="18pt"/>
      </w:pPr>
      <w:rPr>
        <w:rFonts w:ascii="Courier New" w:hAnsi="Courier New" w:cs="Courier New" w:hint="default"/>
      </w:rPr>
    </w:lvl>
    <w:lvl w:ilvl="5" w:tplc="040C0005" w:tentative="1">
      <w:start w:val="1"/>
      <w:numFmt w:val="bullet"/>
      <w:lvlText w:val=""/>
      <w:lvlJc w:val="start"/>
      <w:pPr>
        <w:ind w:start="252pt" w:hanging="18pt"/>
      </w:pPr>
      <w:rPr>
        <w:rFonts w:ascii="Wingdings" w:hAnsi="Wingdings" w:hint="default"/>
      </w:rPr>
    </w:lvl>
    <w:lvl w:ilvl="6" w:tplc="040C0001" w:tentative="1">
      <w:start w:val="1"/>
      <w:numFmt w:val="bullet"/>
      <w:lvlText w:val=""/>
      <w:lvlJc w:val="start"/>
      <w:pPr>
        <w:ind w:start="288pt" w:hanging="18pt"/>
      </w:pPr>
      <w:rPr>
        <w:rFonts w:ascii="Symbol" w:hAnsi="Symbol" w:hint="default"/>
      </w:rPr>
    </w:lvl>
    <w:lvl w:ilvl="7" w:tplc="040C0003" w:tentative="1">
      <w:start w:val="1"/>
      <w:numFmt w:val="bullet"/>
      <w:lvlText w:val="o"/>
      <w:lvlJc w:val="start"/>
      <w:pPr>
        <w:ind w:start="324pt" w:hanging="18pt"/>
      </w:pPr>
      <w:rPr>
        <w:rFonts w:ascii="Courier New" w:hAnsi="Courier New" w:cs="Courier New" w:hint="default"/>
      </w:rPr>
    </w:lvl>
    <w:lvl w:ilvl="8" w:tplc="040C0005" w:tentative="1">
      <w:start w:val="1"/>
      <w:numFmt w:val="bullet"/>
      <w:lvlText w:val=""/>
      <w:lvlJc w:val="start"/>
      <w:pPr>
        <w:ind w:start="360pt" w:hanging="18pt"/>
      </w:pPr>
      <w:rPr>
        <w:rFonts w:ascii="Wingdings" w:hAnsi="Wingdings" w:hint="default"/>
      </w:rPr>
    </w:lvl>
  </w:abstractNum>
  <w:abstractNum w:abstractNumId="7" w15:restartNumberingAfterBreak="0">
    <w:nsid w:val="2B807E1C"/>
    <w:multiLevelType w:val="multilevel"/>
    <w:tmpl w:val="B77EF90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33767BA0"/>
    <w:multiLevelType w:val="multilevel"/>
    <w:tmpl w:val="E1B8061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34EF0050"/>
    <w:multiLevelType w:val="multilevel"/>
    <w:tmpl w:val="5674F5C4"/>
    <w:lvl w:ilvl="0">
      <w:numFmt w:val="bullet"/>
      <w:lvlText w:val=""/>
      <w:lvlJc w:val="start"/>
      <w:pPr>
        <w:ind w:start="54pt" w:hanging="18pt"/>
      </w:pPr>
      <w:rPr>
        <w:rFonts w:ascii="Symbol" w:hAnsi="Symbol"/>
      </w:rPr>
    </w:lvl>
    <w:lvl w:ilvl="1">
      <w:numFmt w:val="bullet"/>
      <w:lvlText w:val="o"/>
      <w:lvlJc w:val="start"/>
      <w:pPr>
        <w:ind w:start="90pt" w:hanging="18pt"/>
      </w:pPr>
      <w:rPr>
        <w:rFonts w:ascii="Courier New" w:hAnsi="Courier New" w:cs="Courier New"/>
      </w:rPr>
    </w:lvl>
    <w:lvl w:ilvl="2">
      <w:numFmt w:val="bullet"/>
      <w:lvlText w:val=""/>
      <w:lvlJc w:val="start"/>
      <w:pPr>
        <w:ind w:start="126pt" w:hanging="18pt"/>
      </w:pPr>
      <w:rPr>
        <w:rFonts w:ascii="Wingdings" w:hAnsi="Wingdings"/>
      </w:rPr>
    </w:lvl>
    <w:lvl w:ilvl="3">
      <w:numFmt w:val="bullet"/>
      <w:lvlText w:val=""/>
      <w:lvlJc w:val="start"/>
      <w:pPr>
        <w:ind w:start="162pt" w:hanging="18pt"/>
      </w:pPr>
      <w:rPr>
        <w:rFonts w:ascii="Symbol" w:hAnsi="Symbol"/>
      </w:rPr>
    </w:lvl>
    <w:lvl w:ilvl="4">
      <w:numFmt w:val="bullet"/>
      <w:lvlText w:val="o"/>
      <w:lvlJc w:val="start"/>
      <w:pPr>
        <w:ind w:start="198pt" w:hanging="18pt"/>
      </w:pPr>
      <w:rPr>
        <w:rFonts w:ascii="Courier New" w:hAnsi="Courier New" w:cs="Courier New"/>
      </w:rPr>
    </w:lvl>
    <w:lvl w:ilvl="5">
      <w:numFmt w:val="bullet"/>
      <w:lvlText w:val=""/>
      <w:lvlJc w:val="start"/>
      <w:pPr>
        <w:ind w:start="234pt" w:hanging="18pt"/>
      </w:pPr>
      <w:rPr>
        <w:rFonts w:ascii="Wingdings" w:hAnsi="Wingdings"/>
      </w:rPr>
    </w:lvl>
    <w:lvl w:ilvl="6">
      <w:numFmt w:val="bullet"/>
      <w:lvlText w:val=""/>
      <w:lvlJc w:val="start"/>
      <w:pPr>
        <w:ind w:start="270pt" w:hanging="18pt"/>
      </w:pPr>
      <w:rPr>
        <w:rFonts w:ascii="Symbol" w:hAnsi="Symbol"/>
      </w:rPr>
    </w:lvl>
    <w:lvl w:ilvl="7">
      <w:numFmt w:val="bullet"/>
      <w:lvlText w:val="o"/>
      <w:lvlJc w:val="start"/>
      <w:pPr>
        <w:ind w:start="306pt" w:hanging="18pt"/>
      </w:pPr>
      <w:rPr>
        <w:rFonts w:ascii="Courier New" w:hAnsi="Courier New" w:cs="Courier New"/>
      </w:rPr>
    </w:lvl>
    <w:lvl w:ilvl="8">
      <w:numFmt w:val="bullet"/>
      <w:lvlText w:val=""/>
      <w:lvlJc w:val="start"/>
      <w:pPr>
        <w:ind w:start="342pt" w:hanging="18pt"/>
      </w:pPr>
      <w:rPr>
        <w:rFonts w:ascii="Wingdings" w:hAnsi="Wingdings"/>
      </w:rPr>
    </w:lvl>
  </w:abstractNum>
  <w:abstractNum w:abstractNumId="10" w15:restartNumberingAfterBreak="0">
    <w:nsid w:val="3CD8660E"/>
    <w:multiLevelType w:val="multilevel"/>
    <w:tmpl w:val="D82C9F1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43D93104"/>
    <w:multiLevelType w:val="multilevel"/>
    <w:tmpl w:val="38E2A6C6"/>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cs="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cs="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cs="Courier New"/>
      </w:rPr>
    </w:lvl>
    <w:lvl w:ilvl="8">
      <w:numFmt w:val="bullet"/>
      <w:lvlText w:val=""/>
      <w:lvlJc w:val="start"/>
      <w:pPr>
        <w:ind w:start="324pt" w:hanging="18pt"/>
      </w:pPr>
      <w:rPr>
        <w:rFonts w:ascii="Wingdings" w:hAnsi="Wingdings"/>
      </w:rPr>
    </w:lvl>
  </w:abstractNum>
  <w:abstractNum w:abstractNumId="12" w15:restartNumberingAfterBreak="0">
    <w:nsid w:val="46026E24"/>
    <w:multiLevelType w:val="multilevel"/>
    <w:tmpl w:val="6742A6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48EC5588"/>
    <w:multiLevelType w:val="multilevel"/>
    <w:tmpl w:val="FF4A56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5653691C"/>
    <w:multiLevelType w:val="multilevel"/>
    <w:tmpl w:val="29BECD98"/>
    <w:lvl w:ilvl="0">
      <w:numFmt w:val="bullet"/>
      <w:lvlText w:val=""/>
      <w:lvlJc w:val="start"/>
      <w:pPr>
        <w:ind w:start="36pt" w:hanging="18pt"/>
      </w:pPr>
      <w:rPr>
        <w:rFonts w:ascii="Symbol" w:hAnsi="Symbol"/>
      </w:rPr>
    </w:lvl>
    <w:lvl w:ilvl="1">
      <w:numFmt w:val="bullet"/>
      <w:lvlText w:val="o"/>
      <w:lvlJc w:val="start"/>
      <w:pPr>
        <w:ind w:start="72pt" w:hanging="18pt"/>
      </w:pPr>
      <w:rPr>
        <w:rFonts w:ascii="Courier New" w:hAnsi="Courier New" w:cs="Courier New"/>
      </w:rPr>
    </w:lvl>
    <w:lvl w:ilvl="2">
      <w:numFmt w:val="bullet"/>
      <w:lvlText w:val=""/>
      <w:lvlJc w:val="start"/>
      <w:pPr>
        <w:ind w:start="108pt" w:hanging="18pt"/>
      </w:pPr>
      <w:rPr>
        <w:rFonts w:ascii="Wingdings" w:hAnsi="Wingdings"/>
      </w:rPr>
    </w:lvl>
    <w:lvl w:ilvl="3">
      <w:numFmt w:val="bullet"/>
      <w:lvlText w:val=""/>
      <w:lvlJc w:val="start"/>
      <w:pPr>
        <w:ind w:start="144pt" w:hanging="18pt"/>
      </w:pPr>
      <w:rPr>
        <w:rFonts w:ascii="Symbol" w:hAnsi="Symbol"/>
      </w:rPr>
    </w:lvl>
    <w:lvl w:ilvl="4">
      <w:numFmt w:val="bullet"/>
      <w:lvlText w:val="o"/>
      <w:lvlJc w:val="start"/>
      <w:pPr>
        <w:ind w:start="180pt" w:hanging="18pt"/>
      </w:pPr>
      <w:rPr>
        <w:rFonts w:ascii="Courier New" w:hAnsi="Courier New" w:cs="Courier New"/>
      </w:rPr>
    </w:lvl>
    <w:lvl w:ilvl="5">
      <w:numFmt w:val="bullet"/>
      <w:lvlText w:val=""/>
      <w:lvlJc w:val="start"/>
      <w:pPr>
        <w:ind w:start="216pt" w:hanging="18pt"/>
      </w:pPr>
      <w:rPr>
        <w:rFonts w:ascii="Wingdings" w:hAnsi="Wingdings"/>
      </w:rPr>
    </w:lvl>
    <w:lvl w:ilvl="6">
      <w:numFmt w:val="bullet"/>
      <w:lvlText w:val=""/>
      <w:lvlJc w:val="start"/>
      <w:pPr>
        <w:ind w:start="252pt" w:hanging="18pt"/>
      </w:pPr>
      <w:rPr>
        <w:rFonts w:ascii="Symbol" w:hAnsi="Symbol"/>
      </w:rPr>
    </w:lvl>
    <w:lvl w:ilvl="7">
      <w:numFmt w:val="bullet"/>
      <w:lvlText w:val="o"/>
      <w:lvlJc w:val="start"/>
      <w:pPr>
        <w:ind w:start="288pt" w:hanging="18pt"/>
      </w:pPr>
      <w:rPr>
        <w:rFonts w:ascii="Courier New" w:hAnsi="Courier New" w:cs="Courier New"/>
      </w:rPr>
    </w:lvl>
    <w:lvl w:ilvl="8">
      <w:numFmt w:val="bullet"/>
      <w:lvlText w:val=""/>
      <w:lvlJc w:val="start"/>
      <w:pPr>
        <w:ind w:start="324pt" w:hanging="18pt"/>
      </w:pPr>
      <w:rPr>
        <w:rFonts w:ascii="Wingdings" w:hAnsi="Wingdings"/>
      </w:rPr>
    </w:lvl>
  </w:abstractNum>
  <w:abstractNum w:abstractNumId="15" w15:restartNumberingAfterBreak="0">
    <w:nsid w:val="58F049C2"/>
    <w:multiLevelType w:val="multilevel"/>
    <w:tmpl w:val="CC8466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69F52BEA"/>
    <w:multiLevelType w:val="multilevel"/>
    <w:tmpl w:val="B2CE05D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6ABB61E4"/>
    <w:multiLevelType w:val="hybridMultilevel"/>
    <w:tmpl w:val="74EE38FC"/>
    <w:lvl w:ilvl="0" w:tplc="040C0001">
      <w:start w:val="1"/>
      <w:numFmt w:val="bullet"/>
      <w:lvlText w:val=""/>
      <w:lvlJc w:val="start"/>
      <w:pPr>
        <w:ind w:start="36pt" w:hanging="18pt"/>
      </w:pPr>
      <w:rPr>
        <w:rFonts w:ascii="Symbol" w:hAnsi="Symbol" w:hint="default"/>
      </w:rPr>
    </w:lvl>
    <w:lvl w:ilvl="1" w:tplc="040C0003">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18" w15:restartNumberingAfterBreak="0">
    <w:nsid w:val="759A65A1"/>
    <w:multiLevelType w:val="multilevel"/>
    <w:tmpl w:val="1D9C521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767544CE"/>
    <w:multiLevelType w:val="hybridMultilevel"/>
    <w:tmpl w:val="8BA6C938"/>
    <w:lvl w:ilvl="0" w:tplc="040C0001">
      <w:start w:val="1"/>
      <w:numFmt w:val="bullet"/>
      <w:lvlText w:val=""/>
      <w:lvlJc w:val="start"/>
      <w:pPr>
        <w:ind w:start="36pt" w:hanging="18pt"/>
      </w:pPr>
      <w:rPr>
        <w:rFonts w:ascii="Symbol" w:hAnsi="Symbol"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0" w15:restartNumberingAfterBreak="0">
    <w:nsid w:val="7811097E"/>
    <w:multiLevelType w:val="hybridMultilevel"/>
    <w:tmpl w:val="D26AC9AE"/>
    <w:lvl w:ilvl="0" w:tplc="040C000F">
      <w:start w:val="1"/>
      <w:numFmt w:val="decimal"/>
      <w:lvlText w:val="%1."/>
      <w:lvlJc w:val="start"/>
      <w:pPr>
        <w:ind w:start="36pt" w:hanging="18pt"/>
      </w:pPr>
    </w:lvl>
    <w:lvl w:ilvl="1" w:tplc="040C0019">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num w:numId="1" w16cid:durableId="1710229261">
    <w:abstractNumId w:val="5"/>
  </w:num>
  <w:num w:numId="2" w16cid:durableId="1952391584">
    <w:abstractNumId w:val="14"/>
  </w:num>
  <w:num w:numId="3" w16cid:durableId="767694142">
    <w:abstractNumId w:val="4"/>
  </w:num>
  <w:num w:numId="4" w16cid:durableId="1032608256">
    <w:abstractNumId w:val="1"/>
  </w:num>
  <w:num w:numId="5" w16cid:durableId="835799856">
    <w:abstractNumId w:val="0"/>
  </w:num>
  <w:num w:numId="6" w16cid:durableId="2054621986">
    <w:abstractNumId w:val="9"/>
  </w:num>
  <w:num w:numId="7" w16cid:durableId="1420641370">
    <w:abstractNumId w:val="11"/>
  </w:num>
  <w:num w:numId="8" w16cid:durableId="1627084944">
    <w:abstractNumId w:val="8"/>
  </w:num>
  <w:num w:numId="9" w16cid:durableId="1438717859">
    <w:abstractNumId w:val="15"/>
  </w:num>
  <w:num w:numId="10" w16cid:durableId="670567574">
    <w:abstractNumId w:val="18"/>
  </w:num>
  <w:num w:numId="11" w16cid:durableId="691222902">
    <w:abstractNumId w:val="16"/>
  </w:num>
  <w:num w:numId="12" w16cid:durableId="858738275">
    <w:abstractNumId w:val="19"/>
  </w:num>
  <w:num w:numId="13" w16cid:durableId="912275997">
    <w:abstractNumId w:val="7"/>
  </w:num>
  <w:num w:numId="14" w16cid:durableId="2130969142">
    <w:abstractNumId w:val="3"/>
  </w:num>
  <w:num w:numId="15" w16cid:durableId="1020355702">
    <w:abstractNumId w:val="10"/>
  </w:num>
  <w:num w:numId="16" w16cid:durableId="701592893">
    <w:abstractNumId w:val="17"/>
  </w:num>
  <w:num w:numId="17" w16cid:durableId="658769929">
    <w:abstractNumId w:val="20"/>
  </w:num>
  <w:num w:numId="18" w16cid:durableId="110904512">
    <w:abstractNumId w:val="12"/>
  </w:num>
  <w:num w:numId="19" w16cid:durableId="1521116953">
    <w:abstractNumId w:val="13"/>
  </w:num>
  <w:num w:numId="20" w16cid:durableId="642349824">
    <w:abstractNumId w:val="2"/>
  </w:num>
  <w:num w:numId="21" w16cid:durableId="1061517901">
    <w:abstractNumId w:val="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5.40pt"/>
  <w:autoHyphenation/>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D51"/>
    <w:rsid w:val="00052CD5"/>
    <w:rsid w:val="00076967"/>
    <w:rsid w:val="000C3DC1"/>
    <w:rsid w:val="000D0C2B"/>
    <w:rsid w:val="000E008B"/>
    <w:rsid w:val="00107B11"/>
    <w:rsid w:val="00127D70"/>
    <w:rsid w:val="001B1735"/>
    <w:rsid w:val="001F64E8"/>
    <w:rsid w:val="00203BF6"/>
    <w:rsid w:val="00293DBE"/>
    <w:rsid w:val="00316B91"/>
    <w:rsid w:val="003508CD"/>
    <w:rsid w:val="00404CB1"/>
    <w:rsid w:val="004163AE"/>
    <w:rsid w:val="004720D9"/>
    <w:rsid w:val="004C590A"/>
    <w:rsid w:val="005113A1"/>
    <w:rsid w:val="005569DB"/>
    <w:rsid w:val="005A6367"/>
    <w:rsid w:val="005B359C"/>
    <w:rsid w:val="00622F0A"/>
    <w:rsid w:val="006331E8"/>
    <w:rsid w:val="00666827"/>
    <w:rsid w:val="006D4AEF"/>
    <w:rsid w:val="00703C5C"/>
    <w:rsid w:val="00791636"/>
    <w:rsid w:val="00793B46"/>
    <w:rsid w:val="008021F9"/>
    <w:rsid w:val="0081659E"/>
    <w:rsid w:val="008923DA"/>
    <w:rsid w:val="008D592B"/>
    <w:rsid w:val="008F7D51"/>
    <w:rsid w:val="00900C68"/>
    <w:rsid w:val="00927C15"/>
    <w:rsid w:val="00A44BBB"/>
    <w:rsid w:val="00B00EF2"/>
    <w:rsid w:val="00B26D88"/>
    <w:rsid w:val="00B4274E"/>
    <w:rsid w:val="00BA6CF4"/>
    <w:rsid w:val="00C3008F"/>
    <w:rsid w:val="00C51661"/>
    <w:rsid w:val="00D170DA"/>
    <w:rsid w:val="00D465F1"/>
    <w:rsid w:val="00DF347E"/>
    <w:rsid w:val="00E20637"/>
    <w:rsid w:val="00EE19F8"/>
    <w:rsid w:val="00F33873"/>
    <w:rsid w:val="00F60896"/>
    <w:rsid w:val="00F915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0617D26"/>
  <w15:docId w15:val="{37A3E474-D37F-4FAB-B7C2-A20CED60184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fr-FR" w:eastAsia="en-US" w:bidi="ar-SA"/>
      </w:rPr>
    </w:rPrDefault>
    <w:pPrDefault>
      <w:pPr>
        <w:autoSpaceDN w:val="0"/>
        <w:spacing w:after="8pt" w:line="12.7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D88"/>
    <w:pPr>
      <w:suppressAutoHyphens/>
    </w:pPr>
    <w:rPr>
      <w:sz w:val="28"/>
    </w:rPr>
  </w:style>
  <w:style w:type="paragraph" w:styleId="Titre1">
    <w:name w:val="heading 1"/>
    <w:basedOn w:val="Normal"/>
    <w:next w:val="Normal"/>
    <w:uiPriority w:val="9"/>
    <w:qFormat/>
    <w:rsid w:val="00B26D88"/>
    <w:pPr>
      <w:keepNext/>
      <w:keepLines/>
      <w:spacing w:before="18pt" w:after="4pt"/>
      <w:outlineLvl w:val="0"/>
    </w:pPr>
    <w:rPr>
      <w:rFonts w:ascii="Calibri Light" w:eastAsia="Times New Roman" w:hAnsi="Calibri Light"/>
      <w:color w:val="000000" w:themeColor="text1"/>
      <w:sz w:val="40"/>
      <w:szCs w:val="40"/>
    </w:rPr>
  </w:style>
  <w:style w:type="paragraph" w:styleId="Titre2">
    <w:name w:val="heading 2"/>
    <w:basedOn w:val="Normal"/>
    <w:next w:val="Normal"/>
    <w:uiPriority w:val="9"/>
    <w:unhideWhenUsed/>
    <w:qFormat/>
    <w:rsid w:val="00B26D88"/>
    <w:pPr>
      <w:keepNext/>
      <w:keepLines/>
      <w:spacing w:before="8pt" w:after="4pt"/>
      <w:outlineLvl w:val="1"/>
    </w:pPr>
    <w:rPr>
      <w:rFonts w:ascii="Calibri Light" w:eastAsia="Times New Roman" w:hAnsi="Calibri Light"/>
      <w:color w:val="000000" w:themeColor="text1"/>
      <w:sz w:val="36"/>
      <w:szCs w:val="32"/>
    </w:rPr>
  </w:style>
  <w:style w:type="paragraph" w:styleId="Titre3">
    <w:name w:val="heading 3"/>
    <w:basedOn w:val="Normal"/>
    <w:next w:val="Normal"/>
    <w:uiPriority w:val="9"/>
    <w:unhideWhenUsed/>
    <w:qFormat/>
    <w:rsid w:val="00B26D88"/>
    <w:pPr>
      <w:keepNext/>
      <w:keepLines/>
      <w:spacing w:before="8pt" w:after="4pt"/>
      <w:outlineLvl w:val="2"/>
    </w:pPr>
    <w:rPr>
      <w:rFonts w:eastAsia="Times New Roman"/>
      <w:color w:val="000000" w:themeColor="text1"/>
      <w:sz w:val="32"/>
      <w:szCs w:val="28"/>
    </w:rPr>
  </w:style>
  <w:style w:type="paragraph" w:styleId="Titre4">
    <w:name w:val="heading 4"/>
    <w:basedOn w:val="Normal"/>
    <w:next w:val="Normal"/>
    <w:uiPriority w:val="9"/>
    <w:unhideWhenUsed/>
    <w:qFormat/>
    <w:rsid w:val="00B26D88"/>
    <w:pPr>
      <w:keepNext/>
      <w:keepLines/>
      <w:spacing w:before="4pt" w:after="2pt"/>
      <w:outlineLvl w:val="3"/>
    </w:pPr>
    <w:rPr>
      <w:rFonts w:eastAsia="Times New Roman"/>
      <w:i/>
      <w:iCs/>
      <w:color w:val="000000" w:themeColor="text1"/>
      <w:sz w:val="32"/>
    </w:rPr>
  </w:style>
  <w:style w:type="paragraph" w:styleId="Titre5">
    <w:name w:val="heading 5"/>
    <w:basedOn w:val="Normal"/>
    <w:next w:val="Normal"/>
    <w:uiPriority w:val="9"/>
    <w:semiHidden/>
    <w:unhideWhenUsed/>
    <w:qFormat/>
    <w:pPr>
      <w:keepNext/>
      <w:keepLines/>
      <w:spacing w:before="4pt" w:after="2pt"/>
      <w:outlineLvl w:val="4"/>
    </w:pPr>
    <w:rPr>
      <w:rFonts w:eastAsia="Times New Roman"/>
      <w:color w:val="2F5496"/>
    </w:rPr>
  </w:style>
  <w:style w:type="paragraph" w:styleId="Titre6">
    <w:name w:val="heading 6"/>
    <w:basedOn w:val="Normal"/>
    <w:next w:val="Normal"/>
    <w:uiPriority w:val="9"/>
    <w:semiHidden/>
    <w:unhideWhenUsed/>
    <w:qFormat/>
    <w:pPr>
      <w:keepNext/>
      <w:keepLines/>
      <w:spacing w:before="2pt" w:after="0pt"/>
      <w:outlineLvl w:val="5"/>
    </w:pPr>
    <w:rPr>
      <w:rFonts w:eastAsia="Times New Roman"/>
      <w:i/>
      <w:iCs/>
      <w:color w:val="595959"/>
    </w:rPr>
  </w:style>
  <w:style w:type="paragraph" w:styleId="Titre7">
    <w:name w:val="heading 7"/>
    <w:basedOn w:val="Normal"/>
    <w:next w:val="Normal"/>
    <w:pPr>
      <w:keepNext/>
      <w:keepLines/>
      <w:spacing w:before="2pt" w:after="0pt"/>
      <w:outlineLvl w:val="6"/>
    </w:pPr>
    <w:rPr>
      <w:rFonts w:eastAsia="Times New Roman"/>
      <w:color w:val="595959"/>
    </w:rPr>
  </w:style>
  <w:style w:type="paragraph" w:styleId="Titre8">
    <w:name w:val="heading 8"/>
    <w:basedOn w:val="Normal"/>
    <w:next w:val="Normal"/>
    <w:pPr>
      <w:keepNext/>
      <w:keepLines/>
      <w:spacing w:after="0pt"/>
      <w:outlineLvl w:val="7"/>
    </w:pPr>
    <w:rPr>
      <w:rFonts w:eastAsia="Times New Roman"/>
      <w:i/>
      <w:iCs/>
      <w:color w:val="272727"/>
    </w:rPr>
  </w:style>
  <w:style w:type="paragraph" w:styleId="Titre9">
    <w:name w:val="heading 9"/>
    <w:basedOn w:val="Normal"/>
    <w:next w:val="Normal"/>
    <w:pPr>
      <w:keepNext/>
      <w:keepLines/>
      <w:spacing w:after="0pt"/>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Calibri Light" w:eastAsia="Times New Roman" w:hAnsi="Calibri Light" w:cs="Times New Roman"/>
      <w:color w:val="2F5496"/>
      <w:sz w:val="40"/>
      <w:szCs w:val="40"/>
    </w:rPr>
  </w:style>
  <w:style w:type="character" w:customStyle="1" w:styleId="Titre2Car">
    <w:name w:val="Titre 2 Car"/>
    <w:basedOn w:val="Policepardfaut"/>
    <w:rPr>
      <w:rFonts w:ascii="Calibri Light" w:eastAsia="Times New Roman" w:hAnsi="Calibri Light" w:cs="Times New Roman"/>
      <w:color w:val="2F5496"/>
      <w:sz w:val="32"/>
      <w:szCs w:val="32"/>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4pt" w:line="12pt" w:lineRule="auto"/>
      <w:contextualSpacing/>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8pt"/>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start="36pt"/>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18pt" w:after="18pt"/>
      <w:ind w:start="43.20pt" w:end="43.20pt"/>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table" w:styleId="Grilledutableau">
    <w:name w:val="Table Grid"/>
    <w:basedOn w:val="TableauNormal"/>
    <w:uiPriority w:val="39"/>
    <w:rsid w:val="00791636"/>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7D70"/>
    <w:pPr>
      <w:suppressAutoHyphens w:val="0"/>
      <w:autoSpaceDN/>
      <w:spacing w:before="5pt" w:beforeAutospacing="1" w:after="5pt" w:afterAutospacing="1" w:line="12pt" w:lineRule="auto"/>
    </w:pPr>
    <w:rPr>
      <w:rFonts w:ascii="Times New Roman" w:eastAsia="Times New Roman" w:hAnsi="Times New Roman"/>
      <w:kern w:val="0"/>
      <w:sz w:val="24"/>
      <w:szCs w:val="24"/>
      <w:lang w:eastAsia="fr-FR"/>
    </w:rPr>
  </w:style>
  <w:style w:type="character" w:styleId="lev">
    <w:name w:val="Strong"/>
    <w:basedOn w:val="Policepardfaut"/>
    <w:uiPriority w:val="22"/>
    <w:qFormat/>
    <w:rsid w:val="00127D70"/>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purl.oclc.org/ooxml/officeDocument/relationships/image" Target="media/image2.png"/><Relationship Id="rId13" Type="http://purl.oclc.org/ooxml/officeDocument/relationships/image" Target="media/image7.png"/><Relationship Id="rId3" Type="http://purl.oclc.org/ooxml/officeDocument/relationships/settings" Target="settings.xml"/><Relationship Id="rId7" Type="http://purl.oclc.org/ooxml/officeDocument/relationships/image" Target="media/image1.png"/><Relationship Id="rId12" Type="http://purl.oclc.org/ooxml/officeDocument/relationships/image" Target="media/image6.png"/><Relationship Id="rId17" Type="http://purl.oclc.org/ooxml/officeDocument/relationships/theme" Target="theme/theme1.xml"/><Relationship Id="rId2" Type="http://purl.oclc.org/ooxml/officeDocument/relationships/styles" Target="styles.xml"/><Relationship Id="rId16" Type="http://purl.oclc.org/ooxml/officeDocument/relationships/fontTable" Target="fontTable.xml"/><Relationship Id="rId1" Type="http://purl.oclc.org/ooxml/officeDocument/relationships/numbering" Target="numbering.xml"/><Relationship Id="rId6" Type="http://purl.oclc.org/ooxml/officeDocument/relationships/endnotes" Target="endnotes.xml"/><Relationship Id="rId11" Type="http://purl.oclc.org/ooxml/officeDocument/relationships/image" Target="media/image5.png"/><Relationship Id="rId5" Type="http://purl.oclc.org/ooxml/officeDocument/relationships/footnotes" Target="footnotes.xml"/><Relationship Id="rId15" Type="http://purl.oclc.org/ooxml/officeDocument/relationships/image" Target="media/image9.png"/><Relationship Id="rId10" Type="http://purl.oclc.org/ooxml/officeDocument/relationships/image" Target="media/image4.png"/><Relationship Id="rId4" Type="http://purl.oclc.org/ooxml/officeDocument/relationships/webSettings" Target="webSettings.xml"/><Relationship Id="rId9" Type="http://purl.oclc.org/ooxml/officeDocument/relationships/image" Target="media/image3.png"/><Relationship Id="rId14" Type="http://purl.oclc.org/ooxml/officeDocument/relationships/image" Target="media/image8.png"/></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3</TotalTime>
  <Pages>13</Pages>
  <Words>2387</Words>
  <Characters>13130</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Moal</dc:creator>
  <dc:description/>
  <cp:lastModifiedBy>Noa Moal</cp:lastModifiedBy>
  <cp:revision>7</cp:revision>
  <dcterms:created xsi:type="dcterms:W3CDTF">2026-05-09T19:10:00Z</dcterms:created>
  <dcterms:modified xsi:type="dcterms:W3CDTF">2026-05-10T12:19:00Z</dcterms:modified>
</cp:coreProperties>
</file>