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5942" w14:textId="77777777" w:rsidR="00870A97" w:rsidRDefault="00000000">
      <w:pPr>
        <w:ind w:left="4248"/>
        <w:jc w:val="right"/>
      </w:pPr>
      <w:r>
        <w:rPr>
          <w:noProof/>
          <w:sz w:val="20"/>
        </w:rPr>
        <w:drawing>
          <wp:anchor distT="0" distB="0" distL="114300" distR="114300" simplePos="0" relativeHeight="251659264" behindDoc="0" locked="0" layoutInCell="1" allowOverlap="1" wp14:anchorId="33F95942" wp14:editId="33F95943">
            <wp:simplePos x="0" y="0"/>
            <wp:positionH relativeFrom="margin">
              <wp:align>left</wp:align>
            </wp:positionH>
            <wp:positionV relativeFrom="paragraph">
              <wp:posOffset>0</wp:posOffset>
            </wp:positionV>
            <wp:extent cx="2286630" cy="879479"/>
            <wp:effectExtent l="0" t="0" r="0" b="0"/>
            <wp:wrapTight wrapText="bothSides">
              <wp:wrapPolygon edited="0">
                <wp:start x="3060" y="0"/>
                <wp:lineTo x="2160" y="1404"/>
                <wp:lineTo x="180" y="6550"/>
                <wp:lineTo x="180" y="10293"/>
                <wp:lineTo x="1260" y="15908"/>
                <wp:lineTo x="1620" y="16843"/>
                <wp:lineTo x="5940" y="20586"/>
                <wp:lineTo x="7920" y="20586"/>
                <wp:lineTo x="21060" y="16843"/>
                <wp:lineTo x="21060" y="15908"/>
                <wp:lineTo x="18180" y="8422"/>
                <wp:lineTo x="18540" y="6082"/>
                <wp:lineTo x="3960" y="0"/>
                <wp:lineTo x="3060" y="0"/>
              </wp:wrapPolygon>
            </wp:wrapTight>
            <wp:docPr id="1059466381" name="Image 18" descr="Une image contenant texte, cercle, Graphiqu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86630" cy="879479"/>
                    </a:xfrm>
                    <a:prstGeom prst="rect">
                      <a:avLst/>
                    </a:prstGeom>
                    <a:noFill/>
                    <a:ln>
                      <a:noFill/>
                      <a:prstDash/>
                    </a:ln>
                  </pic:spPr>
                </pic:pic>
              </a:graphicData>
            </a:graphic>
          </wp:anchor>
        </w:drawing>
      </w:r>
      <w:r>
        <w:rPr>
          <w:b/>
          <w:bCs/>
          <w:sz w:val="32"/>
          <w:szCs w:val="32"/>
        </w:rPr>
        <w:t>Département Informatique</w:t>
      </w:r>
    </w:p>
    <w:p w14:paraId="33F95943" w14:textId="77777777" w:rsidR="00870A97" w:rsidRDefault="00000000">
      <w:pPr>
        <w:ind w:left="4248"/>
        <w:jc w:val="right"/>
        <w:rPr>
          <w:sz w:val="24"/>
          <w:szCs w:val="24"/>
        </w:rPr>
      </w:pPr>
      <w:r>
        <w:rPr>
          <w:sz w:val="24"/>
          <w:szCs w:val="24"/>
        </w:rPr>
        <w:t>71 rue Peter Fink</w:t>
      </w:r>
    </w:p>
    <w:p w14:paraId="33F95944" w14:textId="77777777" w:rsidR="00870A97" w:rsidRDefault="00000000">
      <w:pPr>
        <w:ind w:left="4248"/>
        <w:jc w:val="right"/>
        <w:rPr>
          <w:sz w:val="24"/>
          <w:szCs w:val="24"/>
        </w:rPr>
      </w:pPr>
      <w:r>
        <w:rPr>
          <w:sz w:val="24"/>
          <w:szCs w:val="24"/>
        </w:rPr>
        <w:t>01000 Bourg-en-Bresse</w:t>
      </w:r>
    </w:p>
    <w:p w14:paraId="33F95945" w14:textId="77777777" w:rsidR="00870A97" w:rsidRDefault="00000000">
      <w:pPr>
        <w:ind w:left="4248"/>
        <w:jc w:val="right"/>
        <w:rPr>
          <w:sz w:val="24"/>
          <w:szCs w:val="24"/>
        </w:rPr>
      </w:pPr>
      <w:r>
        <w:rPr>
          <w:sz w:val="24"/>
          <w:szCs w:val="24"/>
        </w:rPr>
        <w:t>04 74 45 50 59</w:t>
      </w:r>
    </w:p>
    <w:p w14:paraId="33F95946" w14:textId="77777777" w:rsidR="00870A97" w:rsidRDefault="00870A97"/>
    <w:p w14:paraId="33F95947" w14:textId="77777777" w:rsidR="00870A97" w:rsidRDefault="00000000">
      <w:pPr>
        <w:rPr>
          <w:b/>
          <w:sz w:val="20"/>
        </w:rPr>
      </w:pPr>
      <w:r>
        <w:rPr>
          <w:b/>
          <w:sz w:val="20"/>
        </w:rPr>
        <w:tab/>
      </w:r>
    </w:p>
    <w:p w14:paraId="33F95948" w14:textId="77777777" w:rsidR="00870A97" w:rsidRDefault="00870A97">
      <w:pPr>
        <w:rPr>
          <w:b/>
          <w:sz w:val="20"/>
        </w:rPr>
      </w:pPr>
    </w:p>
    <w:p w14:paraId="33F95949" w14:textId="77777777" w:rsidR="00870A97" w:rsidRDefault="00870A97">
      <w:pPr>
        <w:rPr>
          <w:b/>
          <w:sz w:val="20"/>
        </w:rPr>
      </w:pPr>
    </w:p>
    <w:p w14:paraId="33F9594A" w14:textId="77777777" w:rsidR="00870A97" w:rsidRDefault="00870A97">
      <w:pPr>
        <w:rPr>
          <w:b/>
          <w:sz w:val="20"/>
        </w:rPr>
      </w:pPr>
    </w:p>
    <w:p w14:paraId="33F9594B" w14:textId="77777777" w:rsidR="00870A97" w:rsidRDefault="00870A97">
      <w:pPr>
        <w:rPr>
          <w:b/>
          <w:sz w:val="20"/>
        </w:rPr>
      </w:pPr>
    </w:p>
    <w:p w14:paraId="33F9594C" w14:textId="77777777" w:rsidR="00870A97" w:rsidRDefault="00870A97">
      <w:pPr>
        <w:rPr>
          <w:b/>
          <w:sz w:val="20"/>
        </w:rPr>
      </w:pPr>
    </w:p>
    <w:p w14:paraId="33F9594D" w14:textId="77777777" w:rsidR="00870A97" w:rsidRDefault="00000000">
      <w:r>
        <w:rPr>
          <w:noProof/>
          <w:sz w:val="20"/>
        </w:rPr>
        <mc:AlternateContent>
          <mc:Choice Requires="wps">
            <w:drawing>
              <wp:anchor distT="0" distB="0" distL="114300" distR="114300" simplePos="0" relativeHeight="251663360" behindDoc="0" locked="0" layoutInCell="1" allowOverlap="1" wp14:anchorId="33F95944" wp14:editId="33F95945">
                <wp:simplePos x="0" y="0"/>
                <wp:positionH relativeFrom="margin">
                  <wp:align>left</wp:align>
                </wp:positionH>
                <wp:positionV relativeFrom="paragraph">
                  <wp:posOffset>298451</wp:posOffset>
                </wp:positionV>
                <wp:extent cx="5796911" cy="38103"/>
                <wp:effectExtent l="0" t="0" r="0" b="0"/>
                <wp:wrapTopAndBottom/>
                <wp:docPr id="1572943970" name="Graphic 4"/>
                <wp:cNvGraphicFramePr/>
                <a:graphic xmlns:a="http://schemas.openxmlformats.org/drawingml/2006/main">
                  <a:graphicData uri="http://schemas.microsoft.com/office/word/2010/wordprocessingShape">
                    <wps:wsp>
                      <wps:cNvSpPr/>
                      <wps:spPr>
                        <a:xfrm>
                          <a:off x="0" y="0"/>
                          <a:ext cx="5796911" cy="38103"/>
                        </a:xfrm>
                        <a:custGeom>
                          <a:avLst/>
                          <a:gdLst>
                            <a:gd name="f0" fmla="val w"/>
                            <a:gd name="f1" fmla="val h"/>
                            <a:gd name="f2" fmla="val 0"/>
                            <a:gd name="f3" fmla="val 5796915"/>
                            <a:gd name="f4" fmla="val 38100"/>
                            <a:gd name="f5" fmla="val 5796660"/>
                            <a:gd name="f6" fmla="*/ f0 1 5796915"/>
                            <a:gd name="f7" fmla="*/ f1 1 38100"/>
                            <a:gd name="f8" fmla="val f2"/>
                            <a:gd name="f9" fmla="val f3"/>
                            <a:gd name="f10" fmla="val f4"/>
                            <a:gd name="f11" fmla="+- f10 0 f8"/>
                            <a:gd name="f12" fmla="+- f9 0 f8"/>
                            <a:gd name="f13" fmla="*/ f12 1 5796915"/>
                            <a:gd name="f14" fmla="*/ f11 1 38100"/>
                            <a:gd name="f15" fmla="*/ f8 1 f13"/>
                            <a:gd name="f16" fmla="*/ f9 1 f13"/>
                            <a:gd name="f17" fmla="*/ f8 1 f14"/>
                            <a:gd name="f18" fmla="*/ f1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5796915" h="38100">
                              <a:moveTo>
                                <a:pt x="f5" y="f2"/>
                              </a:moveTo>
                              <a:lnTo>
                                <a:pt x="f2" y="f2"/>
                              </a:lnTo>
                              <a:lnTo>
                                <a:pt x="f2" y="f4"/>
                              </a:lnTo>
                              <a:lnTo>
                                <a:pt x="f5" y="f4"/>
                              </a:lnTo>
                              <a:lnTo>
                                <a:pt x="f5" y="f2"/>
                              </a:lnTo>
                              <a:close/>
                            </a:path>
                          </a:pathLst>
                        </a:custGeom>
                        <a:solidFill>
                          <a:srgbClr val="000000"/>
                        </a:solidFill>
                        <a:ln cap="flat">
                          <a:noFill/>
                          <a:prstDash val="solid"/>
                        </a:ln>
                      </wps:spPr>
                      <wps:bodyPr lIns="0" tIns="0" rIns="0" bIns="0"/>
                    </wps:wsp>
                  </a:graphicData>
                </a:graphic>
              </wp:anchor>
            </w:drawing>
          </mc:Choice>
          <mc:Fallback>
            <w:pict>
              <v:shape w14:anchorId="0C44445A" id="Graphic 4" o:spid="_x0000_s1026" style="position:absolute;margin-left:0;margin-top:23.5pt;width:456.45pt;height:3pt;z-index:251663360;visibility:visible;mso-wrap-style:square;mso-wrap-distance-left:9pt;mso-wrap-distance-top:0;mso-wrap-distance-right:9pt;mso-wrap-distance-bottom:0;mso-position-horizontal:left;mso-position-horizontal-relative:margin;mso-position-vertical:absolute;mso-position-vertical-relative:text;v-text-anchor:top" coordsize="579691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" path="m5796660,l,,,38100r5796660,l5796660,xe" fillcolor="black" stroked="f">
                <v:path arrowok="t" o:connecttype="custom" o:connectlocs="2898456,0;5796911,19052;2898456,38103;0,19052" o:connectangles="270,0,90,180" textboxrect="0,0,5796915,38100"/>
                <w10:wrap type="topAndBottom" anchorx="margin"/>
              </v:shape>
            </w:pict>
          </mc:Fallback>
        </mc:AlternateContent>
      </w:r>
    </w:p>
    <w:p w14:paraId="33F9594E" w14:textId="77777777" w:rsidR="00870A97" w:rsidRDefault="00870A97">
      <w:pPr>
        <w:rPr>
          <w:b/>
          <w:sz w:val="20"/>
        </w:rPr>
      </w:pPr>
    </w:p>
    <w:p w14:paraId="33F9594F" w14:textId="77777777" w:rsidR="00870A97" w:rsidRDefault="00870A97">
      <w:pPr>
        <w:rPr>
          <w:b/>
          <w:sz w:val="20"/>
        </w:rPr>
      </w:pPr>
    </w:p>
    <w:p w14:paraId="33F95950" w14:textId="77777777" w:rsidR="00870A97" w:rsidRDefault="00000000">
      <w:pPr>
        <w:pStyle w:val="Titre"/>
        <w:rPr>
          <w:b/>
          <w:bCs/>
        </w:rPr>
      </w:pPr>
      <w:r>
        <w:rPr>
          <w:b/>
          <w:bCs/>
        </w:rPr>
        <w:t xml:space="preserve">             L’ÉNERGIE EN FRANCE :</w:t>
      </w:r>
    </w:p>
    <w:p w14:paraId="33F95951" w14:textId="77777777" w:rsidR="00870A97" w:rsidRDefault="00000000">
      <w:pPr>
        <w:pStyle w:val="Sous-titre"/>
        <w:ind w:left="1500"/>
      </w:pPr>
      <w:r>
        <w:rPr>
          <w:b/>
          <w:noProof/>
          <w:sz w:val="20"/>
        </w:rPr>
        <mc:AlternateContent>
          <mc:Choice Requires="wps">
            <w:drawing>
              <wp:anchor distT="0" distB="0" distL="114300" distR="114300" simplePos="0" relativeHeight="251661312" behindDoc="0" locked="0" layoutInCell="1" allowOverlap="1" wp14:anchorId="33F95946" wp14:editId="33F95947">
                <wp:simplePos x="0" y="0"/>
                <wp:positionH relativeFrom="margin">
                  <wp:align>left</wp:align>
                </wp:positionH>
                <wp:positionV relativeFrom="paragraph">
                  <wp:posOffset>661038</wp:posOffset>
                </wp:positionV>
                <wp:extent cx="5796911" cy="38103"/>
                <wp:effectExtent l="0" t="0" r="0" b="0"/>
                <wp:wrapTopAndBottom/>
                <wp:docPr id="1064038014" name="Graphic 5"/>
                <wp:cNvGraphicFramePr/>
                <a:graphic xmlns:a="http://schemas.openxmlformats.org/drawingml/2006/main">
                  <a:graphicData uri="http://schemas.microsoft.com/office/word/2010/wordprocessingShape">
                    <wps:wsp>
                      <wps:cNvSpPr/>
                      <wps:spPr>
                        <a:xfrm>
                          <a:off x="0" y="0"/>
                          <a:ext cx="5796911" cy="38103"/>
                        </a:xfrm>
                        <a:custGeom>
                          <a:avLst/>
                          <a:gdLst>
                            <a:gd name="f0" fmla="val w"/>
                            <a:gd name="f1" fmla="val h"/>
                            <a:gd name="f2" fmla="val 0"/>
                            <a:gd name="f3" fmla="val 5796915"/>
                            <a:gd name="f4" fmla="val 38100"/>
                            <a:gd name="f5" fmla="val 5796660"/>
                            <a:gd name="f6" fmla="*/ f0 1 5796915"/>
                            <a:gd name="f7" fmla="*/ f1 1 38100"/>
                            <a:gd name="f8" fmla="val f2"/>
                            <a:gd name="f9" fmla="val f3"/>
                            <a:gd name="f10" fmla="val f4"/>
                            <a:gd name="f11" fmla="+- f10 0 f8"/>
                            <a:gd name="f12" fmla="+- f9 0 f8"/>
                            <a:gd name="f13" fmla="*/ f12 1 5796915"/>
                            <a:gd name="f14" fmla="*/ f11 1 38100"/>
                            <a:gd name="f15" fmla="*/ f8 1 f13"/>
                            <a:gd name="f16" fmla="*/ f9 1 f13"/>
                            <a:gd name="f17" fmla="*/ f8 1 f14"/>
                            <a:gd name="f18" fmla="*/ f1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5796915" h="38100">
                              <a:moveTo>
                                <a:pt x="f5" y="f2"/>
                              </a:moveTo>
                              <a:lnTo>
                                <a:pt x="f2" y="f2"/>
                              </a:lnTo>
                              <a:lnTo>
                                <a:pt x="f2" y="f4"/>
                              </a:lnTo>
                              <a:lnTo>
                                <a:pt x="f5" y="f4"/>
                              </a:lnTo>
                              <a:lnTo>
                                <a:pt x="f5" y="f2"/>
                              </a:lnTo>
                              <a:close/>
                            </a:path>
                          </a:pathLst>
                        </a:custGeom>
                        <a:solidFill>
                          <a:srgbClr val="000000"/>
                        </a:solidFill>
                        <a:ln cap="flat">
                          <a:noFill/>
                          <a:prstDash val="solid"/>
                        </a:ln>
                      </wps:spPr>
                      <wps:bodyPr lIns="0" tIns="0" rIns="0" bIns="0"/>
                    </wps:wsp>
                  </a:graphicData>
                </a:graphic>
              </wp:anchor>
            </w:drawing>
          </mc:Choice>
          <mc:Fallback>
            <w:pict>
              <v:shape w14:anchorId="27276EFD" id="Graphic 5" o:spid="_x0000_s1026" style="position:absolute;margin-left:0;margin-top:52.05pt;width:456.45pt;height:3pt;z-index:251661312;visibility:visible;mso-wrap-style:square;mso-wrap-distance-left:9pt;mso-wrap-distance-top:0;mso-wrap-distance-right:9pt;mso-wrap-distance-bottom:0;mso-position-horizontal:left;mso-position-horizontal-relative:margin;mso-position-vertical:absolute;mso-position-vertical-relative:text;v-text-anchor:top" coordsize="579691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" path="m5796660,l,,,38100r5796660,l5796660,xe" fillcolor="black" stroked="f">
                <v:path arrowok="t" o:connecttype="custom" o:connectlocs="2898456,0;5796911,19052;2898456,38103;0,19052" o:connectangles="270,0,90,180" textboxrect="0,0,5796915,38100"/>
                <w10:wrap type="topAndBottom" anchorx="margin"/>
              </v:shape>
            </w:pict>
          </mc:Fallback>
        </mc:AlternateContent>
      </w:r>
      <w:r>
        <w:t>Production, consommation et impact environnemental (2006-2022)</w:t>
      </w:r>
      <w:r>
        <w:rPr>
          <w:b/>
          <w:sz w:val="20"/>
        </w:rPr>
        <w:t xml:space="preserve"> </w:t>
      </w:r>
    </w:p>
    <w:p w14:paraId="33F95952" w14:textId="77777777" w:rsidR="00870A97" w:rsidRDefault="00870A97"/>
    <w:p w14:paraId="33F95953" w14:textId="77777777" w:rsidR="00870A97" w:rsidRDefault="00870A97"/>
    <w:p w14:paraId="33F95954" w14:textId="77777777" w:rsidR="00870A97" w:rsidRDefault="00870A97"/>
    <w:p w14:paraId="33F95955" w14:textId="77777777" w:rsidR="00870A97" w:rsidRDefault="00000000">
      <w:pPr>
        <w:rPr>
          <w:rFonts w:cs="Calibri"/>
          <w:szCs w:val="28"/>
        </w:rPr>
      </w:pPr>
      <w:r>
        <w:rPr>
          <w:rFonts w:cs="Calibri"/>
          <w:szCs w:val="28"/>
        </w:rPr>
        <w:t>Réalisé Par :</w:t>
      </w:r>
    </w:p>
    <w:p w14:paraId="33F95956" w14:textId="77777777" w:rsidR="00870A97" w:rsidRDefault="00000000">
      <w:pPr>
        <w:pStyle w:val="Paragraphedeliste"/>
        <w:numPr>
          <w:ilvl w:val="0"/>
          <w:numId w:val="1"/>
        </w:numPr>
        <w:rPr>
          <w:rFonts w:cs="Calibri"/>
          <w:szCs w:val="28"/>
        </w:rPr>
      </w:pPr>
      <w:r>
        <w:rPr>
          <w:rFonts w:cs="Calibri"/>
          <w:szCs w:val="28"/>
        </w:rPr>
        <w:t>Noa MOAL</w:t>
      </w:r>
    </w:p>
    <w:p w14:paraId="33F95957" w14:textId="77777777" w:rsidR="00870A97" w:rsidRDefault="00000000">
      <w:pPr>
        <w:pStyle w:val="Paragraphedeliste"/>
        <w:numPr>
          <w:ilvl w:val="0"/>
          <w:numId w:val="1"/>
        </w:numPr>
        <w:rPr>
          <w:rFonts w:cs="Calibri"/>
          <w:szCs w:val="28"/>
        </w:rPr>
      </w:pPr>
      <w:r>
        <w:rPr>
          <w:rFonts w:cs="Calibri"/>
          <w:szCs w:val="28"/>
        </w:rPr>
        <w:t>Adam BOUNOUARA</w:t>
      </w:r>
    </w:p>
    <w:p w14:paraId="33F95958" w14:textId="77777777" w:rsidR="00870A97" w:rsidRDefault="00000000">
      <w:pPr>
        <w:pStyle w:val="Paragraphedeliste"/>
        <w:numPr>
          <w:ilvl w:val="0"/>
          <w:numId w:val="1"/>
        </w:numPr>
        <w:rPr>
          <w:rFonts w:cs="Calibri"/>
          <w:szCs w:val="28"/>
        </w:rPr>
      </w:pPr>
      <w:r>
        <w:rPr>
          <w:rFonts w:cs="Calibri"/>
          <w:szCs w:val="28"/>
        </w:rPr>
        <w:t>Dylan Valenza</w:t>
      </w:r>
    </w:p>
    <w:p w14:paraId="33F95959" w14:textId="77777777" w:rsidR="00870A97" w:rsidRDefault="00000000">
      <w:pPr>
        <w:ind w:left="360"/>
        <w:rPr>
          <w:rFonts w:cs="Calibri"/>
          <w:szCs w:val="28"/>
        </w:rPr>
      </w:pPr>
      <w:r>
        <w:rPr>
          <w:rFonts w:cs="Calibri"/>
          <w:szCs w:val="28"/>
        </w:rPr>
        <w:t>Encadrante : Mme BERGER</w:t>
      </w:r>
    </w:p>
    <w:p w14:paraId="33F9595A" w14:textId="77777777" w:rsidR="00870A97" w:rsidRDefault="00870A97">
      <w:pPr>
        <w:ind w:left="360"/>
        <w:rPr>
          <w:rFonts w:cs="Calibri"/>
          <w:szCs w:val="28"/>
        </w:rPr>
      </w:pPr>
    </w:p>
    <w:p w14:paraId="33F9595B" w14:textId="77777777" w:rsidR="00870A97" w:rsidRDefault="00870A97">
      <w:pPr>
        <w:ind w:left="360"/>
        <w:rPr>
          <w:rFonts w:cs="Calibri"/>
          <w:szCs w:val="28"/>
        </w:rPr>
      </w:pPr>
    </w:p>
    <w:p w14:paraId="33F9595C" w14:textId="77777777" w:rsidR="00870A97" w:rsidRDefault="00870A97">
      <w:pPr>
        <w:ind w:left="360"/>
        <w:rPr>
          <w:rFonts w:cs="Calibri"/>
          <w:szCs w:val="28"/>
        </w:rPr>
      </w:pPr>
    </w:p>
    <w:p w14:paraId="33F9595D" w14:textId="77777777" w:rsidR="00870A97" w:rsidRDefault="00870A97">
      <w:pPr>
        <w:ind w:left="360"/>
        <w:rPr>
          <w:rFonts w:cs="Calibri"/>
          <w:szCs w:val="28"/>
        </w:rPr>
      </w:pPr>
    </w:p>
    <w:p w14:paraId="33F9595E" w14:textId="77777777" w:rsidR="00870A97" w:rsidRDefault="00870A97">
      <w:pPr>
        <w:ind w:left="360"/>
        <w:rPr>
          <w:rFonts w:cs="Calibri"/>
          <w:szCs w:val="28"/>
        </w:rPr>
      </w:pPr>
    </w:p>
    <w:p w14:paraId="33F9595F" w14:textId="77777777" w:rsidR="00870A97" w:rsidRDefault="00870A97">
      <w:pPr>
        <w:ind w:left="360"/>
        <w:rPr>
          <w:rFonts w:cs="Calibri"/>
          <w:szCs w:val="28"/>
        </w:rPr>
      </w:pPr>
    </w:p>
    <w:p w14:paraId="33F95960" w14:textId="77777777" w:rsidR="00870A97" w:rsidRDefault="00870A97">
      <w:pPr>
        <w:ind w:left="360"/>
        <w:rPr>
          <w:rFonts w:cs="Calibri"/>
          <w:szCs w:val="28"/>
        </w:rPr>
      </w:pPr>
    </w:p>
    <w:p w14:paraId="33F95961" w14:textId="77777777" w:rsidR="00870A97" w:rsidRDefault="00870A97">
      <w:pPr>
        <w:ind w:left="360"/>
        <w:rPr>
          <w:rFonts w:cs="Calibri"/>
          <w:szCs w:val="28"/>
        </w:rPr>
      </w:pPr>
    </w:p>
    <w:p w14:paraId="33F95962" w14:textId="77777777" w:rsidR="00870A97" w:rsidRDefault="00870A97">
      <w:pPr>
        <w:ind w:left="360"/>
        <w:rPr>
          <w:rFonts w:cs="Calibri"/>
          <w:szCs w:val="28"/>
        </w:rPr>
      </w:pPr>
    </w:p>
    <w:p w14:paraId="33F95963" w14:textId="77777777" w:rsidR="00870A97" w:rsidRDefault="00870A97">
      <w:pPr>
        <w:ind w:left="360"/>
        <w:rPr>
          <w:rFonts w:cs="Calibri"/>
          <w:szCs w:val="28"/>
        </w:rPr>
      </w:pPr>
    </w:p>
    <w:p w14:paraId="33F95964" w14:textId="77777777" w:rsidR="00870A97" w:rsidRDefault="00870A97">
      <w:pPr>
        <w:ind w:left="360"/>
        <w:rPr>
          <w:rFonts w:cs="Calibri"/>
          <w:szCs w:val="28"/>
        </w:rPr>
      </w:pPr>
    </w:p>
    <w:p w14:paraId="33F95965" w14:textId="77777777" w:rsidR="00870A97" w:rsidRDefault="00870A97">
      <w:pPr>
        <w:ind w:left="360"/>
        <w:rPr>
          <w:rFonts w:cs="Calibri"/>
          <w:szCs w:val="28"/>
        </w:rPr>
      </w:pPr>
    </w:p>
    <w:p w14:paraId="33F95966" w14:textId="77777777" w:rsidR="00870A97" w:rsidRDefault="00870A97">
      <w:pPr>
        <w:ind w:left="360"/>
        <w:rPr>
          <w:rFonts w:cs="Calibri"/>
          <w:szCs w:val="28"/>
        </w:rPr>
      </w:pPr>
    </w:p>
    <w:p w14:paraId="33F95967" w14:textId="77777777" w:rsidR="00870A97" w:rsidRDefault="00870A97">
      <w:pPr>
        <w:rPr>
          <w:rFonts w:cs="Calibri"/>
          <w:szCs w:val="28"/>
        </w:rPr>
      </w:pPr>
    </w:p>
    <w:p w14:paraId="33F95968" w14:textId="77777777" w:rsidR="00870A97" w:rsidRDefault="00000000">
      <w:pPr>
        <w:ind w:left="360"/>
        <w:rPr>
          <w:rFonts w:cs="Calibri"/>
          <w:szCs w:val="28"/>
        </w:rPr>
      </w:pPr>
      <w:r>
        <w:rPr>
          <w:rFonts w:cs="Calibri"/>
          <w:szCs w:val="28"/>
        </w:rPr>
        <w:t>Année universitaire : 2025-2026</w:t>
      </w:r>
    </w:p>
    <w:p w14:paraId="0B5EC0BD" w14:textId="77777777" w:rsidR="00AC5093" w:rsidRDefault="00000000">
      <w:pPr>
        <w:ind w:left="360"/>
        <w:rPr>
          <w:rFonts w:cs="Calibri"/>
          <w:szCs w:val="28"/>
        </w:rPr>
      </w:pPr>
      <w:r>
        <w:rPr>
          <w:rFonts w:cs="Calibri"/>
          <w:szCs w:val="28"/>
        </w:rPr>
        <w:t>Date de rendu : 11 mai 2026</w:t>
      </w:r>
    </w:p>
    <w:sdt>
      <w:sdtPr>
        <w:id w:val="1831178420"/>
        <w:docPartObj>
          <w:docPartGallery w:val="Table of Contents"/>
          <w:docPartUnique/>
        </w:docPartObj>
      </w:sdtPr>
      <w:sdtEndPr>
        <w:rPr>
          <w:rFonts w:ascii="Calibri" w:eastAsia="Times New Roman" w:hAnsi="Calibri" w:cs="Times New Roman"/>
          <w:b/>
          <w:bCs/>
          <w:color w:val="auto"/>
          <w:sz w:val="28"/>
          <w:szCs w:val="22"/>
          <w:lang w:eastAsia="en-US"/>
        </w:rPr>
      </w:sdtEndPr>
      <w:sdtContent>
        <w:p w14:paraId="4D14B833" w14:textId="12B1F9F0" w:rsidR="00AC5093" w:rsidRDefault="00AC5093">
          <w:pPr>
            <w:pStyle w:val="En-ttedetabledesmatires"/>
          </w:pPr>
          <w:r>
            <w:t>Table des matières</w:t>
          </w:r>
        </w:p>
        <w:p w14:paraId="0E4B05D6" w14:textId="10B4EEAC" w:rsidR="00AC5093" w:rsidRDefault="00AC5093">
          <w:pPr>
            <w:pStyle w:val="TM1"/>
            <w:tabs>
              <w:tab w:val="right" w:leader="dot" w:pos="9062"/>
            </w:tabs>
            <w:rPr>
              <w:noProof/>
            </w:rPr>
          </w:pPr>
          <w:r>
            <w:fldChar w:fldCharType="begin"/>
          </w:r>
          <w:r>
            <w:instrText xml:space="preserve"> TOC \o "1-3" \h \z \u </w:instrText>
          </w:r>
          <w:r>
            <w:fldChar w:fldCharType="separate"/>
          </w:r>
          <w:hyperlink w:anchor="_Toc229338101" w:history="1">
            <w:r w:rsidRPr="00F03458">
              <w:rPr>
                <w:rStyle w:val="Lienhypertexte"/>
                <w:noProof/>
              </w:rPr>
              <w:t>Introduction :</w:t>
            </w:r>
            <w:r>
              <w:rPr>
                <w:noProof/>
                <w:webHidden/>
              </w:rPr>
              <w:tab/>
            </w:r>
            <w:r>
              <w:rPr>
                <w:noProof/>
                <w:webHidden/>
              </w:rPr>
              <w:fldChar w:fldCharType="begin"/>
            </w:r>
            <w:r>
              <w:rPr>
                <w:noProof/>
                <w:webHidden/>
              </w:rPr>
              <w:instrText xml:space="preserve"> PAGEREF _Toc229338101 \h </w:instrText>
            </w:r>
            <w:r>
              <w:rPr>
                <w:noProof/>
                <w:webHidden/>
              </w:rPr>
            </w:r>
            <w:r>
              <w:rPr>
                <w:noProof/>
                <w:webHidden/>
              </w:rPr>
              <w:fldChar w:fldCharType="separate"/>
            </w:r>
            <w:r>
              <w:rPr>
                <w:noProof/>
                <w:webHidden/>
              </w:rPr>
              <w:t>2</w:t>
            </w:r>
            <w:r>
              <w:rPr>
                <w:noProof/>
                <w:webHidden/>
              </w:rPr>
              <w:fldChar w:fldCharType="end"/>
            </w:r>
          </w:hyperlink>
        </w:p>
        <w:p w14:paraId="6F2B99E3" w14:textId="703A354E" w:rsidR="00AC5093" w:rsidRDefault="00AC5093">
          <w:pPr>
            <w:pStyle w:val="TM1"/>
            <w:tabs>
              <w:tab w:val="left" w:pos="480"/>
              <w:tab w:val="right" w:leader="dot" w:pos="9062"/>
            </w:tabs>
            <w:rPr>
              <w:noProof/>
            </w:rPr>
          </w:pPr>
          <w:hyperlink w:anchor="_Toc229338102" w:history="1">
            <w:r w:rsidRPr="00F03458">
              <w:rPr>
                <w:rStyle w:val="Lienhypertexte"/>
                <w:noProof/>
              </w:rPr>
              <w:t>1.</w:t>
            </w:r>
            <w:r>
              <w:rPr>
                <w:noProof/>
              </w:rPr>
              <w:tab/>
            </w:r>
            <w:r w:rsidRPr="00F03458">
              <w:rPr>
                <w:rStyle w:val="Lienhypertexte"/>
                <w:noProof/>
              </w:rPr>
              <w:t>Présentation des données et méthodologie</w:t>
            </w:r>
            <w:r>
              <w:rPr>
                <w:noProof/>
                <w:webHidden/>
              </w:rPr>
              <w:tab/>
            </w:r>
            <w:r>
              <w:rPr>
                <w:noProof/>
                <w:webHidden/>
              </w:rPr>
              <w:fldChar w:fldCharType="begin"/>
            </w:r>
            <w:r>
              <w:rPr>
                <w:noProof/>
                <w:webHidden/>
              </w:rPr>
              <w:instrText xml:space="preserve"> PAGEREF _Toc229338102 \h </w:instrText>
            </w:r>
            <w:r>
              <w:rPr>
                <w:noProof/>
                <w:webHidden/>
              </w:rPr>
            </w:r>
            <w:r>
              <w:rPr>
                <w:noProof/>
                <w:webHidden/>
              </w:rPr>
              <w:fldChar w:fldCharType="separate"/>
            </w:r>
            <w:r>
              <w:rPr>
                <w:noProof/>
                <w:webHidden/>
              </w:rPr>
              <w:t>3</w:t>
            </w:r>
            <w:r>
              <w:rPr>
                <w:noProof/>
                <w:webHidden/>
              </w:rPr>
              <w:fldChar w:fldCharType="end"/>
            </w:r>
          </w:hyperlink>
        </w:p>
        <w:p w14:paraId="76BB8DAD" w14:textId="3F056D31" w:rsidR="00AC5093" w:rsidRDefault="00AC5093">
          <w:pPr>
            <w:pStyle w:val="TM2"/>
            <w:tabs>
              <w:tab w:val="left" w:pos="960"/>
              <w:tab w:val="right" w:leader="dot" w:pos="9062"/>
            </w:tabs>
            <w:rPr>
              <w:noProof/>
            </w:rPr>
          </w:pPr>
          <w:hyperlink w:anchor="_Toc229338103" w:history="1">
            <w:r w:rsidRPr="00F03458">
              <w:rPr>
                <w:rStyle w:val="Lienhypertexte"/>
                <w:noProof/>
              </w:rPr>
              <w:t>1.1</w:t>
            </w:r>
            <w:r>
              <w:rPr>
                <w:noProof/>
              </w:rPr>
              <w:tab/>
            </w:r>
            <w:r w:rsidRPr="00F03458">
              <w:rPr>
                <w:rStyle w:val="Lienhypertexte"/>
                <w:noProof/>
              </w:rPr>
              <w:t>Sources</w:t>
            </w:r>
            <w:r>
              <w:rPr>
                <w:noProof/>
                <w:webHidden/>
              </w:rPr>
              <w:tab/>
            </w:r>
            <w:r>
              <w:rPr>
                <w:noProof/>
                <w:webHidden/>
              </w:rPr>
              <w:fldChar w:fldCharType="begin"/>
            </w:r>
            <w:r>
              <w:rPr>
                <w:noProof/>
                <w:webHidden/>
              </w:rPr>
              <w:instrText xml:space="preserve"> PAGEREF _Toc229338103 \h </w:instrText>
            </w:r>
            <w:r>
              <w:rPr>
                <w:noProof/>
                <w:webHidden/>
              </w:rPr>
            </w:r>
            <w:r>
              <w:rPr>
                <w:noProof/>
                <w:webHidden/>
              </w:rPr>
              <w:fldChar w:fldCharType="separate"/>
            </w:r>
            <w:r>
              <w:rPr>
                <w:noProof/>
                <w:webHidden/>
              </w:rPr>
              <w:t>3</w:t>
            </w:r>
            <w:r>
              <w:rPr>
                <w:noProof/>
                <w:webHidden/>
              </w:rPr>
              <w:fldChar w:fldCharType="end"/>
            </w:r>
          </w:hyperlink>
        </w:p>
        <w:p w14:paraId="14371B90" w14:textId="4245D2B0" w:rsidR="00AC5093" w:rsidRDefault="00AC5093">
          <w:pPr>
            <w:pStyle w:val="TM2"/>
            <w:tabs>
              <w:tab w:val="left" w:pos="960"/>
              <w:tab w:val="right" w:leader="dot" w:pos="9062"/>
            </w:tabs>
            <w:rPr>
              <w:noProof/>
            </w:rPr>
          </w:pPr>
          <w:hyperlink w:anchor="_Toc229338104" w:history="1">
            <w:r w:rsidRPr="00F03458">
              <w:rPr>
                <w:rStyle w:val="Lienhypertexte"/>
                <w:noProof/>
              </w:rPr>
              <w:t>1.2</w:t>
            </w:r>
            <w:r>
              <w:rPr>
                <w:noProof/>
              </w:rPr>
              <w:tab/>
            </w:r>
            <w:r w:rsidRPr="00F03458">
              <w:rPr>
                <w:rStyle w:val="Lienhypertexte"/>
                <w:noProof/>
              </w:rPr>
              <w:t>Traitements communs effectués</w:t>
            </w:r>
            <w:r>
              <w:rPr>
                <w:noProof/>
                <w:webHidden/>
              </w:rPr>
              <w:tab/>
            </w:r>
            <w:r>
              <w:rPr>
                <w:noProof/>
                <w:webHidden/>
              </w:rPr>
              <w:fldChar w:fldCharType="begin"/>
            </w:r>
            <w:r>
              <w:rPr>
                <w:noProof/>
                <w:webHidden/>
              </w:rPr>
              <w:instrText xml:space="preserve"> PAGEREF _Toc229338104 \h </w:instrText>
            </w:r>
            <w:r>
              <w:rPr>
                <w:noProof/>
                <w:webHidden/>
              </w:rPr>
            </w:r>
            <w:r>
              <w:rPr>
                <w:noProof/>
                <w:webHidden/>
              </w:rPr>
              <w:fldChar w:fldCharType="separate"/>
            </w:r>
            <w:r>
              <w:rPr>
                <w:noProof/>
                <w:webHidden/>
              </w:rPr>
              <w:t>3</w:t>
            </w:r>
            <w:r>
              <w:rPr>
                <w:noProof/>
                <w:webHidden/>
              </w:rPr>
              <w:fldChar w:fldCharType="end"/>
            </w:r>
          </w:hyperlink>
        </w:p>
        <w:p w14:paraId="21292494" w14:textId="0D35210C" w:rsidR="00AC5093" w:rsidRDefault="00AC5093">
          <w:pPr>
            <w:pStyle w:val="TM2"/>
            <w:tabs>
              <w:tab w:val="left" w:pos="960"/>
              <w:tab w:val="right" w:leader="dot" w:pos="9062"/>
            </w:tabs>
            <w:rPr>
              <w:noProof/>
            </w:rPr>
          </w:pPr>
          <w:hyperlink w:anchor="_Toc229338105" w:history="1">
            <w:r w:rsidRPr="00F03458">
              <w:rPr>
                <w:rStyle w:val="Lienhypertexte"/>
                <w:noProof/>
              </w:rPr>
              <w:t>1.3</w:t>
            </w:r>
            <w:r>
              <w:rPr>
                <w:noProof/>
              </w:rPr>
              <w:tab/>
            </w:r>
            <w:r w:rsidRPr="00F03458">
              <w:rPr>
                <w:rStyle w:val="Lienhypertexte"/>
                <w:noProof/>
              </w:rPr>
              <w:t>Outils utilisés</w:t>
            </w:r>
            <w:r>
              <w:rPr>
                <w:noProof/>
                <w:webHidden/>
              </w:rPr>
              <w:tab/>
            </w:r>
            <w:r>
              <w:rPr>
                <w:noProof/>
                <w:webHidden/>
              </w:rPr>
              <w:fldChar w:fldCharType="begin"/>
            </w:r>
            <w:r>
              <w:rPr>
                <w:noProof/>
                <w:webHidden/>
              </w:rPr>
              <w:instrText xml:space="preserve"> PAGEREF _Toc229338105 \h </w:instrText>
            </w:r>
            <w:r>
              <w:rPr>
                <w:noProof/>
                <w:webHidden/>
              </w:rPr>
            </w:r>
            <w:r>
              <w:rPr>
                <w:noProof/>
                <w:webHidden/>
              </w:rPr>
              <w:fldChar w:fldCharType="separate"/>
            </w:r>
            <w:r>
              <w:rPr>
                <w:noProof/>
                <w:webHidden/>
              </w:rPr>
              <w:t>3</w:t>
            </w:r>
            <w:r>
              <w:rPr>
                <w:noProof/>
                <w:webHidden/>
              </w:rPr>
              <w:fldChar w:fldCharType="end"/>
            </w:r>
          </w:hyperlink>
        </w:p>
        <w:p w14:paraId="426CFD42" w14:textId="4D958CF5" w:rsidR="00AC5093" w:rsidRDefault="00AC5093">
          <w:pPr>
            <w:pStyle w:val="TM2"/>
            <w:tabs>
              <w:tab w:val="left" w:pos="960"/>
              <w:tab w:val="right" w:leader="dot" w:pos="9062"/>
            </w:tabs>
            <w:rPr>
              <w:noProof/>
            </w:rPr>
          </w:pPr>
          <w:hyperlink w:anchor="_Toc229338106" w:history="1">
            <w:r w:rsidRPr="00F03458">
              <w:rPr>
                <w:rStyle w:val="Lienhypertexte"/>
                <w:noProof/>
              </w:rPr>
              <w:t>1.4</w:t>
            </w:r>
            <w:r>
              <w:rPr>
                <w:noProof/>
              </w:rPr>
              <w:tab/>
            </w:r>
            <w:r w:rsidRPr="00F03458">
              <w:rPr>
                <w:rStyle w:val="Lienhypertexte"/>
                <w:noProof/>
              </w:rPr>
              <w:t>Période d’étude</w:t>
            </w:r>
            <w:r>
              <w:rPr>
                <w:noProof/>
                <w:webHidden/>
              </w:rPr>
              <w:tab/>
            </w:r>
            <w:r>
              <w:rPr>
                <w:noProof/>
                <w:webHidden/>
              </w:rPr>
              <w:fldChar w:fldCharType="begin"/>
            </w:r>
            <w:r>
              <w:rPr>
                <w:noProof/>
                <w:webHidden/>
              </w:rPr>
              <w:instrText xml:space="preserve"> PAGEREF _Toc229338106 \h </w:instrText>
            </w:r>
            <w:r>
              <w:rPr>
                <w:noProof/>
                <w:webHidden/>
              </w:rPr>
            </w:r>
            <w:r>
              <w:rPr>
                <w:noProof/>
                <w:webHidden/>
              </w:rPr>
              <w:fldChar w:fldCharType="separate"/>
            </w:r>
            <w:r>
              <w:rPr>
                <w:noProof/>
                <w:webHidden/>
              </w:rPr>
              <w:t>3</w:t>
            </w:r>
            <w:r>
              <w:rPr>
                <w:noProof/>
                <w:webHidden/>
              </w:rPr>
              <w:fldChar w:fldCharType="end"/>
            </w:r>
          </w:hyperlink>
        </w:p>
        <w:p w14:paraId="6A3CAF5B" w14:textId="1E07CFA3" w:rsidR="00AC5093" w:rsidRDefault="00AC5093">
          <w:pPr>
            <w:pStyle w:val="TM1"/>
            <w:tabs>
              <w:tab w:val="right" w:leader="dot" w:pos="9062"/>
            </w:tabs>
            <w:rPr>
              <w:noProof/>
            </w:rPr>
          </w:pPr>
          <w:hyperlink w:anchor="_Toc229338107" w:history="1">
            <w:r w:rsidRPr="00F03458">
              <w:rPr>
                <w:rStyle w:val="Lienhypertexte"/>
                <w:noProof/>
              </w:rPr>
              <w:t>PARTIE A – La production d’électricité en France (2006-2022)</w:t>
            </w:r>
            <w:r>
              <w:rPr>
                <w:noProof/>
                <w:webHidden/>
              </w:rPr>
              <w:tab/>
            </w:r>
            <w:r>
              <w:rPr>
                <w:noProof/>
                <w:webHidden/>
              </w:rPr>
              <w:fldChar w:fldCharType="begin"/>
            </w:r>
            <w:r>
              <w:rPr>
                <w:noProof/>
                <w:webHidden/>
              </w:rPr>
              <w:instrText xml:space="preserve"> PAGEREF _Toc229338107 \h </w:instrText>
            </w:r>
            <w:r>
              <w:rPr>
                <w:noProof/>
                <w:webHidden/>
              </w:rPr>
            </w:r>
            <w:r>
              <w:rPr>
                <w:noProof/>
                <w:webHidden/>
              </w:rPr>
              <w:fldChar w:fldCharType="separate"/>
            </w:r>
            <w:r>
              <w:rPr>
                <w:noProof/>
                <w:webHidden/>
              </w:rPr>
              <w:t>4</w:t>
            </w:r>
            <w:r>
              <w:rPr>
                <w:noProof/>
                <w:webHidden/>
              </w:rPr>
              <w:fldChar w:fldCharType="end"/>
            </w:r>
          </w:hyperlink>
        </w:p>
        <w:p w14:paraId="352022DB" w14:textId="42B78637" w:rsidR="00AC5093" w:rsidRDefault="00AC5093">
          <w:pPr>
            <w:pStyle w:val="TM2"/>
            <w:tabs>
              <w:tab w:val="left" w:pos="720"/>
              <w:tab w:val="right" w:leader="dot" w:pos="9062"/>
            </w:tabs>
            <w:rPr>
              <w:noProof/>
            </w:rPr>
          </w:pPr>
          <w:hyperlink w:anchor="_Toc229338108" w:history="1">
            <w:r w:rsidRPr="00F03458">
              <w:rPr>
                <w:rStyle w:val="Lienhypertexte"/>
                <w:noProof/>
              </w:rPr>
              <w:t>1.</w:t>
            </w:r>
            <w:r>
              <w:rPr>
                <w:noProof/>
              </w:rPr>
              <w:tab/>
            </w:r>
            <w:r w:rsidRPr="00F03458">
              <w:rPr>
                <w:rStyle w:val="Lienhypertexte"/>
                <w:noProof/>
              </w:rPr>
              <w:t>Présentation et traitement des données</w:t>
            </w:r>
            <w:r>
              <w:rPr>
                <w:noProof/>
                <w:webHidden/>
              </w:rPr>
              <w:tab/>
            </w:r>
            <w:r>
              <w:rPr>
                <w:noProof/>
                <w:webHidden/>
              </w:rPr>
              <w:fldChar w:fldCharType="begin"/>
            </w:r>
            <w:r>
              <w:rPr>
                <w:noProof/>
                <w:webHidden/>
              </w:rPr>
              <w:instrText xml:space="preserve"> PAGEREF _Toc229338108 \h </w:instrText>
            </w:r>
            <w:r>
              <w:rPr>
                <w:noProof/>
                <w:webHidden/>
              </w:rPr>
            </w:r>
            <w:r>
              <w:rPr>
                <w:noProof/>
                <w:webHidden/>
              </w:rPr>
              <w:fldChar w:fldCharType="separate"/>
            </w:r>
            <w:r>
              <w:rPr>
                <w:noProof/>
                <w:webHidden/>
              </w:rPr>
              <w:t>4</w:t>
            </w:r>
            <w:r>
              <w:rPr>
                <w:noProof/>
                <w:webHidden/>
              </w:rPr>
              <w:fldChar w:fldCharType="end"/>
            </w:r>
          </w:hyperlink>
        </w:p>
        <w:p w14:paraId="2CE5FB82" w14:textId="6D4B9AB3" w:rsidR="00AC5093" w:rsidRDefault="00AC5093">
          <w:pPr>
            <w:pStyle w:val="TM3"/>
            <w:tabs>
              <w:tab w:val="left" w:pos="1200"/>
              <w:tab w:val="right" w:leader="dot" w:pos="9062"/>
            </w:tabs>
            <w:rPr>
              <w:noProof/>
            </w:rPr>
          </w:pPr>
          <w:hyperlink w:anchor="_Toc229338109" w:history="1">
            <w:r w:rsidRPr="00F03458">
              <w:rPr>
                <w:rStyle w:val="Lienhypertexte"/>
                <w:noProof/>
              </w:rPr>
              <w:t>1.1</w:t>
            </w:r>
            <w:r>
              <w:rPr>
                <w:noProof/>
              </w:rPr>
              <w:tab/>
            </w:r>
            <w:r w:rsidRPr="00F03458">
              <w:rPr>
                <w:rStyle w:val="Lienhypertexte"/>
                <w:noProof/>
              </w:rPr>
              <w:t>Source et structure</w:t>
            </w:r>
            <w:r>
              <w:rPr>
                <w:noProof/>
                <w:webHidden/>
              </w:rPr>
              <w:tab/>
            </w:r>
            <w:r>
              <w:rPr>
                <w:noProof/>
                <w:webHidden/>
              </w:rPr>
              <w:fldChar w:fldCharType="begin"/>
            </w:r>
            <w:r>
              <w:rPr>
                <w:noProof/>
                <w:webHidden/>
              </w:rPr>
              <w:instrText xml:space="preserve"> PAGEREF _Toc229338109 \h </w:instrText>
            </w:r>
            <w:r>
              <w:rPr>
                <w:noProof/>
                <w:webHidden/>
              </w:rPr>
            </w:r>
            <w:r>
              <w:rPr>
                <w:noProof/>
                <w:webHidden/>
              </w:rPr>
              <w:fldChar w:fldCharType="separate"/>
            </w:r>
            <w:r>
              <w:rPr>
                <w:noProof/>
                <w:webHidden/>
              </w:rPr>
              <w:t>4</w:t>
            </w:r>
            <w:r>
              <w:rPr>
                <w:noProof/>
                <w:webHidden/>
              </w:rPr>
              <w:fldChar w:fldCharType="end"/>
            </w:r>
          </w:hyperlink>
        </w:p>
        <w:p w14:paraId="0DEE7CCD" w14:textId="679FC92E" w:rsidR="00AC5093" w:rsidRDefault="00AC5093">
          <w:pPr>
            <w:pStyle w:val="TM3"/>
            <w:tabs>
              <w:tab w:val="left" w:pos="1200"/>
              <w:tab w:val="right" w:leader="dot" w:pos="9062"/>
            </w:tabs>
            <w:rPr>
              <w:noProof/>
            </w:rPr>
          </w:pPr>
          <w:hyperlink w:anchor="_Toc229338110" w:history="1">
            <w:r w:rsidRPr="00F03458">
              <w:rPr>
                <w:rStyle w:val="Lienhypertexte"/>
                <w:noProof/>
              </w:rPr>
              <w:t>1.2</w:t>
            </w:r>
            <w:r>
              <w:rPr>
                <w:noProof/>
              </w:rPr>
              <w:tab/>
            </w:r>
            <w:r w:rsidRPr="00F03458">
              <w:rPr>
                <w:rStyle w:val="Lienhypertexte"/>
                <w:noProof/>
              </w:rPr>
              <w:t>Traitement effectué</w:t>
            </w:r>
            <w:r>
              <w:rPr>
                <w:noProof/>
                <w:webHidden/>
              </w:rPr>
              <w:tab/>
            </w:r>
            <w:r>
              <w:rPr>
                <w:noProof/>
                <w:webHidden/>
              </w:rPr>
              <w:fldChar w:fldCharType="begin"/>
            </w:r>
            <w:r>
              <w:rPr>
                <w:noProof/>
                <w:webHidden/>
              </w:rPr>
              <w:instrText xml:space="preserve"> PAGEREF _Toc229338110 \h </w:instrText>
            </w:r>
            <w:r>
              <w:rPr>
                <w:noProof/>
                <w:webHidden/>
              </w:rPr>
            </w:r>
            <w:r>
              <w:rPr>
                <w:noProof/>
                <w:webHidden/>
              </w:rPr>
              <w:fldChar w:fldCharType="separate"/>
            </w:r>
            <w:r>
              <w:rPr>
                <w:noProof/>
                <w:webHidden/>
              </w:rPr>
              <w:t>4</w:t>
            </w:r>
            <w:r>
              <w:rPr>
                <w:noProof/>
                <w:webHidden/>
              </w:rPr>
              <w:fldChar w:fldCharType="end"/>
            </w:r>
          </w:hyperlink>
        </w:p>
        <w:p w14:paraId="11367E65" w14:textId="2DFC4020" w:rsidR="00AC5093" w:rsidRDefault="00AC5093">
          <w:pPr>
            <w:pStyle w:val="TM2"/>
            <w:tabs>
              <w:tab w:val="left" w:pos="720"/>
              <w:tab w:val="right" w:leader="dot" w:pos="9062"/>
            </w:tabs>
            <w:rPr>
              <w:noProof/>
            </w:rPr>
          </w:pPr>
          <w:hyperlink w:anchor="_Toc229338111" w:history="1">
            <w:r w:rsidRPr="00F03458">
              <w:rPr>
                <w:rStyle w:val="Lienhypertexte"/>
                <w:noProof/>
              </w:rPr>
              <w:t>2.</w:t>
            </w:r>
            <w:r>
              <w:rPr>
                <w:noProof/>
              </w:rPr>
              <w:tab/>
            </w:r>
            <w:r w:rsidRPr="00F03458">
              <w:rPr>
                <w:rStyle w:val="Lienhypertexte"/>
                <w:noProof/>
              </w:rPr>
              <w:t>Analyse statistique à une variable</w:t>
            </w:r>
            <w:r>
              <w:rPr>
                <w:noProof/>
                <w:webHidden/>
              </w:rPr>
              <w:tab/>
            </w:r>
            <w:r>
              <w:rPr>
                <w:noProof/>
                <w:webHidden/>
              </w:rPr>
              <w:fldChar w:fldCharType="begin"/>
            </w:r>
            <w:r>
              <w:rPr>
                <w:noProof/>
                <w:webHidden/>
              </w:rPr>
              <w:instrText xml:space="preserve"> PAGEREF _Toc229338111 \h </w:instrText>
            </w:r>
            <w:r>
              <w:rPr>
                <w:noProof/>
                <w:webHidden/>
              </w:rPr>
            </w:r>
            <w:r>
              <w:rPr>
                <w:noProof/>
                <w:webHidden/>
              </w:rPr>
              <w:fldChar w:fldCharType="separate"/>
            </w:r>
            <w:r>
              <w:rPr>
                <w:noProof/>
                <w:webHidden/>
              </w:rPr>
              <w:t>4</w:t>
            </w:r>
            <w:r>
              <w:rPr>
                <w:noProof/>
                <w:webHidden/>
              </w:rPr>
              <w:fldChar w:fldCharType="end"/>
            </w:r>
          </w:hyperlink>
        </w:p>
        <w:p w14:paraId="729BABD3" w14:textId="214346B8" w:rsidR="00AC5093" w:rsidRDefault="00AC5093">
          <w:pPr>
            <w:pStyle w:val="TM3"/>
            <w:tabs>
              <w:tab w:val="left" w:pos="1200"/>
              <w:tab w:val="right" w:leader="dot" w:pos="9062"/>
            </w:tabs>
            <w:rPr>
              <w:noProof/>
            </w:rPr>
          </w:pPr>
          <w:hyperlink w:anchor="_Toc229338112" w:history="1">
            <w:r w:rsidRPr="00F03458">
              <w:rPr>
                <w:rStyle w:val="Lienhypertexte"/>
                <w:noProof/>
              </w:rPr>
              <w:t>2.1</w:t>
            </w:r>
            <w:r>
              <w:rPr>
                <w:noProof/>
              </w:rPr>
              <w:tab/>
            </w:r>
            <w:r w:rsidRPr="00F03458">
              <w:rPr>
                <w:rStyle w:val="Lienhypertexte"/>
                <w:noProof/>
              </w:rPr>
              <w:t>Indicateurs par source</w:t>
            </w:r>
            <w:r>
              <w:rPr>
                <w:noProof/>
                <w:webHidden/>
              </w:rPr>
              <w:tab/>
            </w:r>
            <w:r>
              <w:rPr>
                <w:noProof/>
                <w:webHidden/>
              </w:rPr>
              <w:fldChar w:fldCharType="begin"/>
            </w:r>
            <w:r>
              <w:rPr>
                <w:noProof/>
                <w:webHidden/>
              </w:rPr>
              <w:instrText xml:space="preserve"> PAGEREF _Toc229338112 \h </w:instrText>
            </w:r>
            <w:r>
              <w:rPr>
                <w:noProof/>
                <w:webHidden/>
              </w:rPr>
            </w:r>
            <w:r>
              <w:rPr>
                <w:noProof/>
                <w:webHidden/>
              </w:rPr>
              <w:fldChar w:fldCharType="separate"/>
            </w:r>
            <w:r>
              <w:rPr>
                <w:noProof/>
                <w:webHidden/>
              </w:rPr>
              <w:t>4</w:t>
            </w:r>
            <w:r>
              <w:rPr>
                <w:noProof/>
                <w:webHidden/>
              </w:rPr>
              <w:fldChar w:fldCharType="end"/>
            </w:r>
          </w:hyperlink>
        </w:p>
        <w:p w14:paraId="591BB443" w14:textId="7AA64585" w:rsidR="00AC5093" w:rsidRDefault="00AC5093">
          <w:pPr>
            <w:pStyle w:val="TM3"/>
            <w:tabs>
              <w:tab w:val="left" w:pos="1200"/>
              <w:tab w:val="right" w:leader="dot" w:pos="9062"/>
            </w:tabs>
            <w:rPr>
              <w:noProof/>
            </w:rPr>
          </w:pPr>
          <w:hyperlink w:anchor="_Toc229338113" w:history="1">
            <w:r w:rsidRPr="00F03458">
              <w:rPr>
                <w:rStyle w:val="Lienhypertexte"/>
                <w:noProof/>
              </w:rPr>
              <w:t>2.2</w:t>
            </w:r>
            <w:r>
              <w:rPr>
                <w:noProof/>
              </w:rPr>
              <w:tab/>
            </w:r>
            <w:r w:rsidRPr="00F03458">
              <w:rPr>
                <w:rStyle w:val="Lienhypertexte"/>
                <w:noProof/>
              </w:rPr>
              <w:t>Distribution saisonnière et annuelle des productions</w:t>
            </w:r>
            <w:r>
              <w:rPr>
                <w:noProof/>
                <w:webHidden/>
              </w:rPr>
              <w:tab/>
            </w:r>
            <w:r>
              <w:rPr>
                <w:noProof/>
                <w:webHidden/>
              </w:rPr>
              <w:fldChar w:fldCharType="begin"/>
            </w:r>
            <w:r>
              <w:rPr>
                <w:noProof/>
                <w:webHidden/>
              </w:rPr>
              <w:instrText xml:space="preserve"> PAGEREF _Toc229338113 \h </w:instrText>
            </w:r>
            <w:r>
              <w:rPr>
                <w:noProof/>
                <w:webHidden/>
              </w:rPr>
            </w:r>
            <w:r>
              <w:rPr>
                <w:noProof/>
                <w:webHidden/>
              </w:rPr>
              <w:fldChar w:fldCharType="separate"/>
            </w:r>
            <w:r>
              <w:rPr>
                <w:noProof/>
                <w:webHidden/>
              </w:rPr>
              <w:t>4</w:t>
            </w:r>
            <w:r>
              <w:rPr>
                <w:noProof/>
                <w:webHidden/>
              </w:rPr>
              <w:fldChar w:fldCharType="end"/>
            </w:r>
          </w:hyperlink>
        </w:p>
        <w:p w14:paraId="16DF5CDD" w14:textId="611F2C1D" w:rsidR="00AC5093" w:rsidRDefault="00AC5093">
          <w:pPr>
            <w:pStyle w:val="TM2"/>
            <w:tabs>
              <w:tab w:val="left" w:pos="720"/>
              <w:tab w:val="right" w:leader="dot" w:pos="9062"/>
            </w:tabs>
            <w:rPr>
              <w:noProof/>
            </w:rPr>
          </w:pPr>
          <w:hyperlink w:anchor="_Toc229338114" w:history="1">
            <w:r w:rsidRPr="00F03458">
              <w:rPr>
                <w:rStyle w:val="Lienhypertexte"/>
                <w:noProof/>
              </w:rPr>
              <w:t>3.</w:t>
            </w:r>
            <w:r>
              <w:rPr>
                <w:noProof/>
              </w:rPr>
              <w:tab/>
            </w:r>
            <w:r w:rsidRPr="00F03458">
              <w:rPr>
                <w:rStyle w:val="Lienhypertexte"/>
                <w:noProof/>
              </w:rPr>
              <w:t>Évolution temporel de la production électrique</w:t>
            </w:r>
            <w:r>
              <w:rPr>
                <w:noProof/>
                <w:webHidden/>
              </w:rPr>
              <w:tab/>
            </w:r>
            <w:r>
              <w:rPr>
                <w:noProof/>
                <w:webHidden/>
              </w:rPr>
              <w:fldChar w:fldCharType="begin"/>
            </w:r>
            <w:r>
              <w:rPr>
                <w:noProof/>
                <w:webHidden/>
              </w:rPr>
              <w:instrText xml:space="preserve"> PAGEREF _Toc229338114 \h </w:instrText>
            </w:r>
            <w:r>
              <w:rPr>
                <w:noProof/>
                <w:webHidden/>
              </w:rPr>
            </w:r>
            <w:r>
              <w:rPr>
                <w:noProof/>
                <w:webHidden/>
              </w:rPr>
              <w:fldChar w:fldCharType="separate"/>
            </w:r>
            <w:r>
              <w:rPr>
                <w:noProof/>
                <w:webHidden/>
              </w:rPr>
              <w:t>5</w:t>
            </w:r>
            <w:r>
              <w:rPr>
                <w:noProof/>
                <w:webHidden/>
              </w:rPr>
              <w:fldChar w:fldCharType="end"/>
            </w:r>
          </w:hyperlink>
        </w:p>
        <w:p w14:paraId="11FA3AB1" w14:textId="1AB29CE6" w:rsidR="00AC5093" w:rsidRDefault="00AC5093">
          <w:pPr>
            <w:pStyle w:val="TM3"/>
            <w:tabs>
              <w:tab w:val="left" w:pos="1200"/>
              <w:tab w:val="right" w:leader="dot" w:pos="9062"/>
            </w:tabs>
            <w:rPr>
              <w:noProof/>
            </w:rPr>
          </w:pPr>
          <w:hyperlink w:anchor="_Toc229338115" w:history="1">
            <w:r w:rsidRPr="00F03458">
              <w:rPr>
                <w:rStyle w:val="Lienhypertexte"/>
                <w:noProof/>
              </w:rPr>
              <w:t>3.1</w:t>
            </w:r>
            <w:r>
              <w:rPr>
                <w:noProof/>
              </w:rPr>
              <w:tab/>
            </w:r>
            <w:r w:rsidRPr="00F03458">
              <w:rPr>
                <w:rStyle w:val="Lienhypertexte"/>
                <w:noProof/>
              </w:rPr>
              <w:t>Évolution mensuelle des énergies renouvelables (Hydro, Éolien, Solaire)</w:t>
            </w:r>
            <w:r>
              <w:rPr>
                <w:noProof/>
                <w:webHidden/>
              </w:rPr>
              <w:tab/>
            </w:r>
            <w:r>
              <w:rPr>
                <w:noProof/>
                <w:webHidden/>
              </w:rPr>
              <w:fldChar w:fldCharType="begin"/>
            </w:r>
            <w:r>
              <w:rPr>
                <w:noProof/>
                <w:webHidden/>
              </w:rPr>
              <w:instrText xml:space="preserve"> PAGEREF _Toc229338115 \h </w:instrText>
            </w:r>
            <w:r>
              <w:rPr>
                <w:noProof/>
                <w:webHidden/>
              </w:rPr>
            </w:r>
            <w:r>
              <w:rPr>
                <w:noProof/>
                <w:webHidden/>
              </w:rPr>
              <w:fldChar w:fldCharType="separate"/>
            </w:r>
            <w:r>
              <w:rPr>
                <w:noProof/>
                <w:webHidden/>
              </w:rPr>
              <w:t>5</w:t>
            </w:r>
            <w:r>
              <w:rPr>
                <w:noProof/>
                <w:webHidden/>
              </w:rPr>
              <w:fldChar w:fldCharType="end"/>
            </w:r>
          </w:hyperlink>
        </w:p>
        <w:p w14:paraId="47AA58D0" w14:textId="335FBB0E" w:rsidR="00AC5093" w:rsidRDefault="00AC5093">
          <w:pPr>
            <w:pStyle w:val="TM3"/>
            <w:tabs>
              <w:tab w:val="left" w:pos="1200"/>
              <w:tab w:val="right" w:leader="dot" w:pos="9062"/>
            </w:tabs>
            <w:rPr>
              <w:noProof/>
            </w:rPr>
          </w:pPr>
          <w:hyperlink w:anchor="_Toc229338116" w:history="1">
            <w:r w:rsidRPr="00F03458">
              <w:rPr>
                <w:rStyle w:val="Lienhypertexte"/>
                <w:noProof/>
              </w:rPr>
              <w:t>3.2</w:t>
            </w:r>
            <w:r>
              <w:rPr>
                <w:noProof/>
              </w:rPr>
              <w:tab/>
            </w:r>
            <w:r w:rsidRPr="00F03458">
              <w:rPr>
                <w:rStyle w:val="Lienhypertexte"/>
                <w:noProof/>
              </w:rPr>
              <w:t>Évolution mensuelle de la production nucléaire</w:t>
            </w:r>
            <w:r>
              <w:rPr>
                <w:noProof/>
                <w:webHidden/>
              </w:rPr>
              <w:tab/>
            </w:r>
            <w:r>
              <w:rPr>
                <w:noProof/>
                <w:webHidden/>
              </w:rPr>
              <w:fldChar w:fldCharType="begin"/>
            </w:r>
            <w:r>
              <w:rPr>
                <w:noProof/>
                <w:webHidden/>
              </w:rPr>
              <w:instrText xml:space="preserve"> PAGEREF _Toc229338116 \h </w:instrText>
            </w:r>
            <w:r>
              <w:rPr>
                <w:noProof/>
                <w:webHidden/>
              </w:rPr>
            </w:r>
            <w:r>
              <w:rPr>
                <w:noProof/>
                <w:webHidden/>
              </w:rPr>
              <w:fldChar w:fldCharType="separate"/>
            </w:r>
            <w:r>
              <w:rPr>
                <w:noProof/>
                <w:webHidden/>
              </w:rPr>
              <w:t>5</w:t>
            </w:r>
            <w:r>
              <w:rPr>
                <w:noProof/>
                <w:webHidden/>
              </w:rPr>
              <w:fldChar w:fldCharType="end"/>
            </w:r>
          </w:hyperlink>
        </w:p>
        <w:p w14:paraId="6D1E0C76" w14:textId="2B53A5DB" w:rsidR="00AC5093" w:rsidRDefault="00AC5093">
          <w:pPr>
            <w:pStyle w:val="TM3"/>
            <w:tabs>
              <w:tab w:val="left" w:pos="1200"/>
              <w:tab w:val="right" w:leader="dot" w:pos="9062"/>
            </w:tabs>
            <w:rPr>
              <w:noProof/>
            </w:rPr>
          </w:pPr>
          <w:hyperlink w:anchor="_Toc229338117" w:history="1">
            <w:r w:rsidRPr="00F03458">
              <w:rPr>
                <w:rStyle w:val="Lienhypertexte"/>
                <w:noProof/>
              </w:rPr>
              <w:t>3.3</w:t>
            </w:r>
            <w:r>
              <w:rPr>
                <w:noProof/>
              </w:rPr>
              <w:tab/>
            </w:r>
            <w:r w:rsidRPr="00F03458">
              <w:rPr>
                <w:rStyle w:val="Lienhypertexte"/>
                <w:noProof/>
              </w:rPr>
              <w:t>Évolution annuelle du mix de production</w:t>
            </w:r>
            <w:r>
              <w:rPr>
                <w:noProof/>
                <w:webHidden/>
              </w:rPr>
              <w:tab/>
            </w:r>
            <w:r>
              <w:rPr>
                <w:noProof/>
                <w:webHidden/>
              </w:rPr>
              <w:fldChar w:fldCharType="begin"/>
            </w:r>
            <w:r>
              <w:rPr>
                <w:noProof/>
                <w:webHidden/>
              </w:rPr>
              <w:instrText xml:space="preserve"> PAGEREF _Toc229338117 \h </w:instrText>
            </w:r>
            <w:r>
              <w:rPr>
                <w:noProof/>
                <w:webHidden/>
              </w:rPr>
            </w:r>
            <w:r>
              <w:rPr>
                <w:noProof/>
                <w:webHidden/>
              </w:rPr>
              <w:fldChar w:fldCharType="separate"/>
            </w:r>
            <w:r>
              <w:rPr>
                <w:noProof/>
                <w:webHidden/>
              </w:rPr>
              <w:t>5</w:t>
            </w:r>
            <w:r>
              <w:rPr>
                <w:noProof/>
                <w:webHidden/>
              </w:rPr>
              <w:fldChar w:fldCharType="end"/>
            </w:r>
          </w:hyperlink>
        </w:p>
        <w:p w14:paraId="34D0F019" w14:textId="1F3FED02" w:rsidR="00AC5093" w:rsidRDefault="00AC5093">
          <w:pPr>
            <w:pStyle w:val="TM3"/>
            <w:tabs>
              <w:tab w:val="left" w:pos="1200"/>
              <w:tab w:val="right" w:leader="dot" w:pos="9062"/>
            </w:tabs>
            <w:rPr>
              <w:noProof/>
            </w:rPr>
          </w:pPr>
          <w:hyperlink w:anchor="_Toc229338118" w:history="1">
            <w:r w:rsidRPr="00F03458">
              <w:rPr>
                <w:rStyle w:val="Lienhypertexte"/>
                <w:noProof/>
              </w:rPr>
              <w:t>3.4</w:t>
            </w:r>
            <w:r>
              <w:rPr>
                <w:noProof/>
              </w:rPr>
              <w:tab/>
            </w:r>
            <w:r w:rsidRPr="00F03458">
              <w:rPr>
                <w:rStyle w:val="Lienhypertexte"/>
                <w:noProof/>
              </w:rPr>
              <w:t>Synthèse de l’évolution temporelle</w:t>
            </w:r>
            <w:r>
              <w:rPr>
                <w:noProof/>
                <w:webHidden/>
              </w:rPr>
              <w:tab/>
            </w:r>
            <w:r>
              <w:rPr>
                <w:noProof/>
                <w:webHidden/>
              </w:rPr>
              <w:fldChar w:fldCharType="begin"/>
            </w:r>
            <w:r>
              <w:rPr>
                <w:noProof/>
                <w:webHidden/>
              </w:rPr>
              <w:instrText xml:space="preserve"> PAGEREF _Toc229338118 \h </w:instrText>
            </w:r>
            <w:r>
              <w:rPr>
                <w:noProof/>
                <w:webHidden/>
              </w:rPr>
            </w:r>
            <w:r>
              <w:rPr>
                <w:noProof/>
                <w:webHidden/>
              </w:rPr>
              <w:fldChar w:fldCharType="separate"/>
            </w:r>
            <w:r>
              <w:rPr>
                <w:noProof/>
                <w:webHidden/>
              </w:rPr>
              <w:t>5</w:t>
            </w:r>
            <w:r>
              <w:rPr>
                <w:noProof/>
                <w:webHidden/>
              </w:rPr>
              <w:fldChar w:fldCharType="end"/>
            </w:r>
          </w:hyperlink>
        </w:p>
        <w:p w14:paraId="4E97B1D8" w14:textId="6F7B3D92" w:rsidR="00AC5093" w:rsidRDefault="00AC5093">
          <w:pPr>
            <w:pStyle w:val="TM2"/>
            <w:tabs>
              <w:tab w:val="left" w:pos="720"/>
              <w:tab w:val="right" w:leader="dot" w:pos="9062"/>
            </w:tabs>
            <w:rPr>
              <w:noProof/>
            </w:rPr>
          </w:pPr>
          <w:hyperlink w:anchor="_Toc229338119" w:history="1">
            <w:r w:rsidRPr="00F03458">
              <w:rPr>
                <w:rStyle w:val="Lienhypertexte"/>
                <w:noProof/>
              </w:rPr>
              <w:t>4.</w:t>
            </w:r>
            <w:r>
              <w:rPr>
                <w:noProof/>
              </w:rPr>
              <w:tab/>
            </w:r>
            <w:r w:rsidRPr="00F03458">
              <w:rPr>
                <w:rStyle w:val="Lienhypertexte"/>
                <w:noProof/>
              </w:rPr>
              <w:t>Le mix de production électrique français</w:t>
            </w:r>
            <w:r>
              <w:rPr>
                <w:noProof/>
                <w:webHidden/>
              </w:rPr>
              <w:tab/>
            </w:r>
            <w:r>
              <w:rPr>
                <w:noProof/>
                <w:webHidden/>
              </w:rPr>
              <w:fldChar w:fldCharType="begin"/>
            </w:r>
            <w:r>
              <w:rPr>
                <w:noProof/>
                <w:webHidden/>
              </w:rPr>
              <w:instrText xml:space="preserve"> PAGEREF _Toc229338119 \h </w:instrText>
            </w:r>
            <w:r>
              <w:rPr>
                <w:noProof/>
                <w:webHidden/>
              </w:rPr>
            </w:r>
            <w:r>
              <w:rPr>
                <w:noProof/>
                <w:webHidden/>
              </w:rPr>
              <w:fldChar w:fldCharType="separate"/>
            </w:r>
            <w:r>
              <w:rPr>
                <w:noProof/>
                <w:webHidden/>
              </w:rPr>
              <w:t>5</w:t>
            </w:r>
            <w:r>
              <w:rPr>
                <w:noProof/>
                <w:webHidden/>
              </w:rPr>
              <w:fldChar w:fldCharType="end"/>
            </w:r>
          </w:hyperlink>
        </w:p>
        <w:p w14:paraId="2C8E7F3D" w14:textId="29D44B34" w:rsidR="00AC5093" w:rsidRDefault="00AC5093">
          <w:pPr>
            <w:pStyle w:val="TM3"/>
            <w:tabs>
              <w:tab w:val="right" w:leader="dot" w:pos="9062"/>
            </w:tabs>
            <w:rPr>
              <w:noProof/>
            </w:rPr>
          </w:pPr>
          <w:hyperlink w:anchor="_Toc229338120" w:history="1">
            <w:r w:rsidRPr="00F03458">
              <w:rPr>
                <w:rStyle w:val="Lienhypertexte"/>
                <w:noProof/>
              </w:rPr>
              <w:t>4.1 Répartition moyenne par source</w:t>
            </w:r>
            <w:r>
              <w:rPr>
                <w:noProof/>
                <w:webHidden/>
              </w:rPr>
              <w:tab/>
            </w:r>
            <w:r>
              <w:rPr>
                <w:noProof/>
                <w:webHidden/>
              </w:rPr>
              <w:fldChar w:fldCharType="begin"/>
            </w:r>
            <w:r>
              <w:rPr>
                <w:noProof/>
                <w:webHidden/>
              </w:rPr>
              <w:instrText xml:space="preserve"> PAGEREF _Toc229338120 \h </w:instrText>
            </w:r>
            <w:r>
              <w:rPr>
                <w:noProof/>
                <w:webHidden/>
              </w:rPr>
            </w:r>
            <w:r>
              <w:rPr>
                <w:noProof/>
                <w:webHidden/>
              </w:rPr>
              <w:fldChar w:fldCharType="separate"/>
            </w:r>
            <w:r>
              <w:rPr>
                <w:noProof/>
                <w:webHidden/>
              </w:rPr>
              <w:t>5</w:t>
            </w:r>
            <w:r>
              <w:rPr>
                <w:noProof/>
                <w:webHidden/>
              </w:rPr>
              <w:fldChar w:fldCharType="end"/>
            </w:r>
          </w:hyperlink>
        </w:p>
        <w:p w14:paraId="71B423D8" w14:textId="098CF46E" w:rsidR="00AC5093" w:rsidRDefault="00AC5093">
          <w:pPr>
            <w:pStyle w:val="TM3"/>
            <w:tabs>
              <w:tab w:val="right" w:leader="dot" w:pos="9062"/>
            </w:tabs>
            <w:rPr>
              <w:noProof/>
            </w:rPr>
          </w:pPr>
          <w:hyperlink w:anchor="_Toc229338121" w:history="1">
            <w:r w:rsidRPr="00F03458">
              <w:rPr>
                <w:rStyle w:val="Lienhypertexte"/>
                <w:noProof/>
              </w:rPr>
              <w:t>4.2 Mise en perspective : un mix bas-carbone</w:t>
            </w:r>
            <w:r>
              <w:rPr>
                <w:noProof/>
                <w:webHidden/>
              </w:rPr>
              <w:tab/>
            </w:r>
            <w:r>
              <w:rPr>
                <w:noProof/>
                <w:webHidden/>
              </w:rPr>
              <w:fldChar w:fldCharType="begin"/>
            </w:r>
            <w:r>
              <w:rPr>
                <w:noProof/>
                <w:webHidden/>
              </w:rPr>
              <w:instrText xml:space="preserve"> PAGEREF _Toc229338121 \h </w:instrText>
            </w:r>
            <w:r>
              <w:rPr>
                <w:noProof/>
                <w:webHidden/>
              </w:rPr>
            </w:r>
            <w:r>
              <w:rPr>
                <w:noProof/>
                <w:webHidden/>
              </w:rPr>
              <w:fldChar w:fldCharType="separate"/>
            </w:r>
            <w:r>
              <w:rPr>
                <w:noProof/>
                <w:webHidden/>
              </w:rPr>
              <w:t>6</w:t>
            </w:r>
            <w:r>
              <w:rPr>
                <w:noProof/>
                <w:webHidden/>
              </w:rPr>
              <w:fldChar w:fldCharType="end"/>
            </w:r>
          </w:hyperlink>
        </w:p>
        <w:p w14:paraId="26D009C2" w14:textId="647BAD20" w:rsidR="00AC5093" w:rsidRDefault="00AC5093">
          <w:pPr>
            <w:pStyle w:val="TM2"/>
            <w:tabs>
              <w:tab w:val="left" w:pos="720"/>
              <w:tab w:val="right" w:leader="dot" w:pos="9062"/>
            </w:tabs>
            <w:rPr>
              <w:noProof/>
            </w:rPr>
          </w:pPr>
          <w:hyperlink w:anchor="_Toc229338122" w:history="1">
            <w:r w:rsidRPr="00F03458">
              <w:rPr>
                <w:rStyle w:val="Lienhypertexte"/>
                <w:noProof/>
              </w:rPr>
              <w:t>5.</w:t>
            </w:r>
            <w:r>
              <w:rPr>
                <w:noProof/>
              </w:rPr>
              <w:tab/>
            </w:r>
            <w:r w:rsidRPr="00F03458">
              <w:rPr>
                <w:rStyle w:val="Lienhypertexte"/>
                <w:noProof/>
              </w:rPr>
              <w:t>Conclusion de la Partie A</w:t>
            </w:r>
            <w:r>
              <w:rPr>
                <w:noProof/>
                <w:webHidden/>
              </w:rPr>
              <w:tab/>
            </w:r>
            <w:r>
              <w:rPr>
                <w:noProof/>
                <w:webHidden/>
              </w:rPr>
              <w:fldChar w:fldCharType="begin"/>
            </w:r>
            <w:r>
              <w:rPr>
                <w:noProof/>
                <w:webHidden/>
              </w:rPr>
              <w:instrText xml:space="preserve"> PAGEREF _Toc229338122 \h </w:instrText>
            </w:r>
            <w:r>
              <w:rPr>
                <w:noProof/>
                <w:webHidden/>
              </w:rPr>
            </w:r>
            <w:r>
              <w:rPr>
                <w:noProof/>
                <w:webHidden/>
              </w:rPr>
              <w:fldChar w:fldCharType="separate"/>
            </w:r>
            <w:r>
              <w:rPr>
                <w:noProof/>
                <w:webHidden/>
              </w:rPr>
              <w:t>7</w:t>
            </w:r>
            <w:r>
              <w:rPr>
                <w:noProof/>
                <w:webHidden/>
              </w:rPr>
              <w:fldChar w:fldCharType="end"/>
            </w:r>
          </w:hyperlink>
        </w:p>
        <w:p w14:paraId="16132DB9" w14:textId="5A403A35" w:rsidR="00AC5093" w:rsidRDefault="00AC5093">
          <w:pPr>
            <w:pStyle w:val="TM1"/>
            <w:tabs>
              <w:tab w:val="right" w:leader="dot" w:pos="9062"/>
            </w:tabs>
            <w:rPr>
              <w:noProof/>
            </w:rPr>
          </w:pPr>
          <w:hyperlink w:anchor="_Toc229338123" w:history="1">
            <w:r w:rsidRPr="00F03458">
              <w:rPr>
                <w:rStyle w:val="Lienhypertexte"/>
                <w:noProof/>
              </w:rPr>
              <w:t>PARTIE B – La consommation électrique et sa thermo sensibilité (2011-2022)</w:t>
            </w:r>
            <w:r>
              <w:rPr>
                <w:noProof/>
                <w:webHidden/>
              </w:rPr>
              <w:tab/>
            </w:r>
            <w:r>
              <w:rPr>
                <w:noProof/>
                <w:webHidden/>
              </w:rPr>
              <w:fldChar w:fldCharType="begin"/>
            </w:r>
            <w:r>
              <w:rPr>
                <w:noProof/>
                <w:webHidden/>
              </w:rPr>
              <w:instrText xml:space="preserve"> PAGEREF _Toc229338123 \h </w:instrText>
            </w:r>
            <w:r>
              <w:rPr>
                <w:noProof/>
                <w:webHidden/>
              </w:rPr>
            </w:r>
            <w:r>
              <w:rPr>
                <w:noProof/>
                <w:webHidden/>
              </w:rPr>
              <w:fldChar w:fldCharType="separate"/>
            </w:r>
            <w:r>
              <w:rPr>
                <w:noProof/>
                <w:webHidden/>
              </w:rPr>
              <w:t>9</w:t>
            </w:r>
            <w:r>
              <w:rPr>
                <w:noProof/>
                <w:webHidden/>
              </w:rPr>
              <w:fldChar w:fldCharType="end"/>
            </w:r>
          </w:hyperlink>
        </w:p>
        <w:p w14:paraId="78CDC84D" w14:textId="14533B27" w:rsidR="00AC5093" w:rsidRDefault="00AC5093">
          <w:pPr>
            <w:pStyle w:val="TM2"/>
            <w:tabs>
              <w:tab w:val="right" w:leader="dot" w:pos="9062"/>
            </w:tabs>
            <w:rPr>
              <w:noProof/>
            </w:rPr>
          </w:pPr>
          <w:hyperlink w:anchor="_Toc229338124" w:history="1">
            <w:r w:rsidRPr="00F03458">
              <w:rPr>
                <w:rStyle w:val="Lienhypertexte"/>
                <w:noProof/>
              </w:rPr>
              <w:t>1. Présentation et traitement des données</w:t>
            </w:r>
            <w:r>
              <w:rPr>
                <w:noProof/>
                <w:webHidden/>
              </w:rPr>
              <w:tab/>
            </w:r>
            <w:r>
              <w:rPr>
                <w:noProof/>
                <w:webHidden/>
              </w:rPr>
              <w:fldChar w:fldCharType="begin"/>
            </w:r>
            <w:r>
              <w:rPr>
                <w:noProof/>
                <w:webHidden/>
              </w:rPr>
              <w:instrText xml:space="preserve"> PAGEREF _Toc229338124 \h </w:instrText>
            </w:r>
            <w:r>
              <w:rPr>
                <w:noProof/>
                <w:webHidden/>
              </w:rPr>
            </w:r>
            <w:r>
              <w:rPr>
                <w:noProof/>
                <w:webHidden/>
              </w:rPr>
              <w:fldChar w:fldCharType="separate"/>
            </w:r>
            <w:r>
              <w:rPr>
                <w:noProof/>
                <w:webHidden/>
              </w:rPr>
              <w:t>9</w:t>
            </w:r>
            <w:r>
              <w:rPr>
                <w:noProof/>
                <w:webHidden/>
              </w:rPr>
              <w:fldChar w:fldCharType="end"/>
            </w:r>
          </w:hyperlink>
        </w:p>
        <w:p w14:paraId="098A37B9" w14:textId="20F040A5" w:rsidR="00AC5093" w:rsidRDefault="00AC5093">
          <w:pPr>
            <w:pStyle w:val="TM3"/>
            <w:tabs>
              <w:tab w:val="right" w:leader="dot" w:pos="9062"/>
            </w:tabs>
            <w:rPr>
              <w:noProof/>
            </w:rPr>
          </w:pPr>
          <w:hyperlink w:anchor="_Toc229338125" w:history="1">
            <w:r w:rsidRPr="00F03458">
              <w:rPr>
                <w:rStyle w:val="Lienhypertexte"/>
                <w:noProof/>
              </w:rPr>
              <w:t>1.1 Source et structure</w:t>
            </w:r>
            <w:r>
              <w:rPr>
                <w:noProof/>
                <w:webHidden/>
              </w:rPr>
              <w:tab/>
            </w:r>
            <w:r>
              <w:rPr>
                <w:noProof/>
                <w:webHidden/>
              </w:rPr>
              <w:fldChar w:fldCharType="begin"/>
            </w:r>
            <w:r>
              <w:rPr>
                <w:noProof/>
                <w:webHidden/>
              </w:rPr>
              <w:instrText xml:space="preserve"> PAGEREF _Toc229338125 \h </w:instrText>
            </w:r>
            <w:r>
              <w:rPr>
                <w:noProof/>
                <w:webHidden/>
              </w:rPr>
            </w:r>
            <w:r>
              <w:rPr>
                <w:noProof/>
                <w:webHidden/>
              </w:rPr>
              <w:fldChar w:fldCharType="separate"/>
            </w:r>
            <w:r>
              <w:rPr>
                <w:noProof/>
                <w:webHidden/>
              </w:rPr>
              <w:t>9</w:t>
            </w:r>
            <w:r>
              <w:rPr>
                <w:noProof/>
                <w:webHidden/>
              </w:rPr>
              <w:fldChar w:fldCharType="end"/>
            </w:r>
          </w:hyperlink>
        </w:p>
        <w:p w14:paraId="16887087" w14:textId="0718363F" w:rsidR="00AC5093" w:rsidRDefault="00AC5093">
          <w:pPr>
            <w:pStyle w:val="TM3"/>
            <w:tabs>
              <w:tab w:val="right" w:leader="dot" w:pos="9062"/>
            </w:tabs>
            <w:rPr>
              <w:noProof/>
            </w:rPr>
          </w:pPr>
          <w:hyperlink w:anchor="_Toc229338126" w:history="1">
            <w:r w:rsidRPr="00F03458">
              <w:rPr>
                <w:rStyle w:val="Lienhypertexte"/>
                <w:noProof/>
              </w:rPr>
              <w:t>1.2 Traitement effectué</w:t>
            </w:r>
            <w:r>
              <w:rPr>
                <w:noProof/>
                <w:webHidden/>
              </w:rPr>
              <w:tab/>
            </w:r>
            <w:r>
              <w:rPr>
                <w:noProof/>
                <w:webHidden/>
              </w:rPr>
              <w:fldChar w:fldCharType="begin"/>
            </w:r>
            <w:r>
              <w:rPr>
                <w:noProof/>
                <w:webHidden/>
              </w:rPr>
              <w:instrText xml:space="preserve"> PAGEREF _Toc229338126 \h </w:instrText>
            </w:r>
            <w:r>
              <w:rPr>
                <w:noProof/>
                <w:webHidden/>
              </w:rPr>
            </w:r>
            <w:r>
              <w:rPr>
                <w:noProof/>
                <w:webHidden/>
              </w:rPr>
              <w:fldChar w:fldCharType="separate"/>
            </w:r>
            <w:r>
              <w:rPr>
                <w:noProof/>
                <w:webHidden/>
              </w:rPr>
              <w:t>9</w:t>
            </w:r>
            <w:r>
              <w:rPr>
                <w:noProof/>
                <w:webHidden/>
              </w:rPr>
              <w:fldChar w:fldCharType="end"/>
            </w:r>
          </w:hyperlink>
        </w:p>
        <w:p w14:paraId="0B51A6FD" w14:textId="77C5B6CC" w:rsidR="00AC5093" w:rsidRDefault="00AC5093">
          <w:pPr>
            <w:pStyle w:val="TM2"/>
            <w:tabs>
              <w:tab w:val="right" w:leader="dot" w:pos="9062"/>
            </w:tabs>
            <w:rPr>
              <w:noProof/>
            </w:rPr>
          </w:pPr>
          <w:hyperlink w:anchor="_Toc229338127" w:history="1">
            <w:r w:rsidRPr="00F03458">
              <w:rPr>
                <w:rStyle w:val="Lienhypertexte"/>
                <w:noProof/>
              </w:rPr>
              <w:t>2. Évolution temporelle de la consommation et du climat</w:t>
            </w:r>
            <w:r>
              <w:rPr>
                <w:noProof/>
                <w:webHidden/>
              </w:rPr>
              <w:tab/>
            </w:r>
            <w:r>
              <w:rPr>
                <w:noProof/>
                <w:webHidden/>
              </w:rPr>
              <w:fldChar w:fldCharType="begin"/>
            </w:r>
            <w:r>
              <w:rPr>
                <w:noProof/>
                <w:webHidden/>
              </w:rPr>
              <w:instrText xml:space="preserve"> PAGEREF _Toc229338127 \h </w:instrText>
            </w:r>
            <w:r>
              <w:rPr>
                <w:noProof/>
                <w:webHidden/>
              </w:rPr>
            </w:r>
            <w:r>
              <w:rPr>
                <w:noProof/>
                <w:webHidden/>
              </w:rPr>
              <w:fldChar w:fldCharType="separate"/>
            </w:r>
            <w:r>
              <w:rPr>
                <w:noProof/>
                <w:webHidden/>
              </w:rPr>
              <w:t>9</w:t>
            </w:r>
            <w:r>
              <w:rPr>
                <w:noProof/>
                <w:webHidden/>
              </w:rPr>
              <w:fldChar w:fldCharType="end"/>
            </w:r>
          </w:hyperlink>
        </w:p>
        <w:p w14:paraId="567FF760" w14:textId="3DE4F6CB" w:rsidR="00AC5093" w:rsidRDefault="00AC5093">
          <w:pPr>
            <w:pStyle w:val="TM2"/>
            <w:tabs>
              <w:tab w:val="right" w:leader="dot" w:pos="9062"/>
            </w:tabs>
            <w:rPr>
              <w:noProof/>
            </w:rPr>
          </w:pPr>
          <w:hyperlink w:anchor="_Toc229338128" w:history="1">
            <w:r w:rsidRPr="00F03458">
              <w:rPr>
                <w:rStyle w:val="Lienhypertexte"/>
                <w:noProof/>
              </w:rPr>
              <w:t>3. Corrélation et modélisation de la thermo sensibilité</w:t>
            </w:r>
            <w:r>
              <w:rPr>
                <w:noProof/>
                <w:webHidden/>
              </w:rPr>
              <w:tab/>
            </w:r>
            <w:r>
              <w:rPr>
                <w:noProof/>
                <w:webHidden/>
              </w:rPr>
              <w:fldChar w:fldCharType="begin"/>
            </w:r>
            <w:r>
              <w:rPr>
                <w:noProof/>
                <w:webHidden/>
              </w:rPr>
              <w:instrText xml:space="preserve"> PAGEREF _Toc229338128 \h </w:instrText>
            </w:r>
            <w:r>
              <w:rPr>
                <w:noProof/>
                <w:webHidden/>
              </w:rPr>
            </w:r>
            <w:r>
              <w:rPr>
                <w:noProof/>
                <w:webHidden/>
              </w:rPr>
              <w:fldChar w:fldCharType="separate"/>
            </w:r>
            <w:r>
              <w:rPr>
                <w:noProof/>
                <w:webHidden/>
              </w:rPr>
              <w:t>11</w:t>
            </w:r>
            <w:r>
              <w:rPr>
                <w:noProof/>
                <w:webHidden/>
              </w:rPr>
              <w:fldChar w:fldCharType="end"/>
            </w:r>
          </w:hyperlink>
        </w:p>
        <w:p w14:paraId="0641F1F3" w14:textId="0FADE380" w:rsidR="00AC5093" w:rsidRDefault="00AC5093">
          <w:pPr>
            <w:pStyle w:val="TM2"/>
            <w:tabs>
              <w:tab w:val="right" w:leader="dot" w:pos="9062"/>
            </w:tabs>
            <w:rPr>
              <w:noProof/>
            </w:rPr>
          </w:pPr>
          <w:hyperlink w:anchor="_Toc229338129" w:history="1">
            <w:r w:rsidRPr="00F03458">
              <w:rPr>
                <w:rStyle w:val="Lienhypertexte"/>
                <w:noProof/>
              </w:rPr>
              <w:t>4. Analyse de la saisonnalité et des risques de dispersion</w:t>
            </w:r>
            <w:r>
              <w:rPr>
                <w:noProof/>
                <w:webHidden/>
              </w:rPr>
              <w:tab/>
            </w:r>
            <w:r>
              <w:rPr>
                <w:noProof/>
                <w:webHidden/>
              </w:rPr>
              <w:fldChar w:fldCharType="begin"/>
            </w:r>
            <w:r>
              <w:rPr>
                <w:noProof/>
                <w:webHidden/>
              </w:rPr>
              <w:instrText xml:space="preserve"> PAGEREF _Toc229338129 \h </w:instrText>
            </w:r>
            <w:r>
              <w:rPr>
                <w:noProof/>
                <w:webHidden/>
              </w:rPr>
            </w:r>
            <w:r>
              <w:rPr>
                <w:noProof/>
                <w:webHidden/>
              </w:rPr>
              <w:fldChar w:fldCharType="separate"/>
            </w:r>
            <w:r>
              <w:rPr>
                <w:noProof/>
                <w:webHidden/>
              </w:rPr>
              <w:t>12</w:t>
            </w:r>
            <w:r>
              <w:rPr>
                <w:noProof/>
                <w:webHidden/>
              </w:rPr>
              <w:fldChar w:fldCharType="end"/>
            </w:r>
          </w:hyperlink>
        </w:p>
        <w:p w14:paraId="2AEBA31D" w14:textId="3D654AD7" w:rsidR="00AC5093" w:rsidRDefault="00AC5093">
          <w:pPr>
            <w:pStyle w:val="TM3"/>
            <w:tabs>
              <w:tab w:val="right" w:leader="dot" w:pos="9062"/>
            </w:tabs>
            <w:rPr>
              <w:noProof/>
            </w:rPr>
          </w:pPr>
          <w:hyperlink w:anchor="_Toc229338130" w:history="1">
            <w:r w:rsidRPr="00F03458">
              <w:rPr>
                <w:rStyle w:val="Lienhypertexte"/>
                <w:noProof/>
              </w:rPr>
              <w:t>4.1 Le profil de charge mensuel</w:t>
            </w:r>
            <w:r>
              <w:rPr>
                <w:noProof/>
                <w:webHidden/>
              </w:rPr>
              <w:tab/>
            </w:r>
            <w:r>
              <w:rPr>
                <w:noProof/>
                <w:webHidden/>
              </w:rPr>
              <w:fldChar w:fldCharType="begin"/>
            </w:r>
            <w:r>
              <w:rPr>
                <w:noProof/>
                <w:webHidden/>
              </w:rPr>
              <w:instrText xml:space="preserve"> PAGEREF _Toc229338130 \h </w:instrText>
            </w:r>
            <w:r>
              <w:rPr>
                <w:noProof/>
                <w:webHidden/>
              </w:rPr>
            </w:r>
            <w:r>
              <w:rPr>
                <w:noProof/>
                <w:webHidden/>
              </w:rPr>
              <w:fldChar w:fldCharType="separate"/>
            </w:r>
            <w:r>
              <w:rPr>
                <w:noProof/>
                <w:webHidden/>
              </w:rPr>
              <w:t>12</w:t>
            </w:r>
            <w:r>
              <w:rPr>
                <w:noProof/>
                <w:webHidden/>
              </w:rPr>
              <w:fldChar w:fldCharType="end"/>
            </w:r>
          </w:hyperlink>
        </w:p>
        <w:p w14:paraId="2CDD4CFA" w14:textId="5AD83843" w:rsidR="00AC5093" w:rsidRDefault="00AC5093">
          <w:pPr>
            <w:pStyle w:val="TM3"/>
            <w:tabs>
              <w:tab w:val="right" w:leader="dot" w:pos="9062"/>
            </w:tabs>
            <w:rPr>
              <w:noProof/>
            </w:rPr>
          </w:pPr>
          <w:hyperlink w:anchor="_Toc229338131" w:history="1">
            <w:r w:rsidRPr="00F03458">
              <w:rPr>
                <w:rStyle w:val="Lienhypertexte"/>
                <w:noProof/>
              </w:rPr>
              <w:t>4.2 L'étude de la variabilité (Diagramme en boîtes)</w:t>
            </w:r>
            <w:r>
              <w:rPr>
                <w:noProof/>
                <w:webHidden/>
              </w:rPr>
              <w:tab/>
            </w:r>
            <w:r>
              <w:rPr>
                <w:noProof/>
                <w:webHidden/>
              </w:rPr>
              <w:fldChar w:fldCharType="begin"/>
            </w:r>
            <w:r>
              <w:rPr>
                <w:noProof/>
                <w:webHidden/>
              </w:rPr>
              <w:instrText xml:space="preserve"> PAGEREF _Toc229338131 \h </w:instrText>
            </w:r>
            <w:r>
              <w:rPr>
                <w:noProof/>
                <w:webHidden/>
              </w:rPr>
            </w:r>
            <w:r>
              <w:rPr>
                <w:noProof/>
                <w:webHidden/>
              </w:rPr>
              <w:fldChar w:fldCharType="separate"/>
            </w:r>
            <w:r>
              <w:rPr>
                <w:noProof/>
                <w:webHidden/>
              </w:rPr>
              <w:t>12</w:t>
            </w:r>
            <w:r>
              <w:rPr>
                <w:noProof/>
                <w:webHidden/>
              </w:rPr>
              <w:fldChar w:fldCharType="end"/>
            </w:r>
          </w:hyperlink>
        </w:p>
        <w:p w14:paraId="40DEEA90" w14:textId="153603F0" w:rsidR="00AC5093" w:rsidRDefault="00AC5093">
          <w:pPr>
            <w:pStyle w:val="TM3"/>
            <w:tabs>
              <w:tab w:val="right" w:leader="dot" w:pos="9062"/>
            </w:tabs>
            <w:rPr>
              <w:noProof/>
            </w:rPr>
          </w:pPr>
          <w:hyperlink w:anchor="_Toc229338132" w:history="1">
            <w:r w:rsidRPr="00F03458">
              <w:rPr>
                <w:rStyle w:val="Lienhypertexte"/>
                <w:noProof/>
              </w:rPr>
              <w:t>4.3 Synthèse des indicateurs statistiques</w:t>
            </w:r>
            <w:r>
              <w:rPr>
                <w:noProof/>
                <w:webHidden/>
              </w:rPr>
              <w:tab/>
            </w:r>
            <w:r>
              <w:rPr>
                <w:noProof/>
                <w:webHidden/>
              </w:rPr>
              <w:fldChar w:fldCharType="begin"/>
            </w:r>
            <w:r>
              <w:rPr>
                <w:noProof/>
                <w:webHidden/>
              </w:rPr>
              <w:instrText xml:space="preserve"> PAGEREF _Toc229338132 \h </w:instrText>
            </w:r>
            <w:r>
              <w:rPr>
                <w:noProof/>
                <w:webHidden/>
              </w:rPr>
            </w:r>
            <w:r>
              <w:rPr>
                <w:noProof/>
                <w:webHidden/>
              </w:rPr>
              <w:fldChar w:fldCharType="separate"/>
            </w:r>
            <w:r>
              <w:rPr>
                <w:noProof/>
                <w:webHidden/>
              </w:rPr>
              <w:t>13</w:t>
            </w:r>
            <w:r>
              <w:rPr>
                <w:noProof/>
                <w:webHidden/>
              </w:rPr>
              <w:fldChar w:fldCharType="end"/>
            </w:r>
          </w:hyperlink>
        </w:p>
        <w:p w14:paraId="42D964B0" w14:textId="7B479610" w:rsidR="00AC5093" w:rsidRDefault="00AC5093">
          <w:pPr>
            <w:pStyle w:val="TM2"/>
            <w:tabs>
              <w:tab w:val="right" w:leader="dot" w:pos="9062"/>
            </w:tabs>
            <w:rPr>
              <w:noProof/>
            </w:rPr>
          </w:pPr>
          <w:hyperlink w:anchor="_Toc229338133" w:history="1">
            <w:r w:rsidRPr="00F03458">
              <w:rPr>
                <w:rStyle w:val="Lienhypertexte"/>
                <w:noProof/>
              </w:rPr>
              <w:t>5. Conclusion de la Partie B</w:t>
            </w:r>
            <w:r>
              <w:rPr>
                <w:noProof/>
                <w:webHidden/>
              </w:rPr>
              <w:tab/>
            </w:r>
            <w:r>
              <w:rPr>
                <w:noProof/>
                <w:webHidden/>
              </w:rPr>
              <w:fldChar w:fldCharType="begin"/>
            </w:r>
            <w:r>
              <w:rPr>
                <w:noProof/>
                <w:webHidden/>
              </w:rPr>
              <w:instrText xml:space="preserve"> PAGEREF _Toc229338133 \h </w:instrText>
            </w:r>
            <w:r>
              <w:rPr>
                <w:noProof/>
                <w:webHidden/>
              </w:rPr>
            </w:r>
            <w:r>
              <w:rPr>
                <w:noProof/>
                <w:webHidden/>
              </w:rPr>
              <w:fldChar w:fldCharType="separate"/>
            </w:r>
            <w:r>
              <w:rPr>
                <w:noProof/>
                <w:webHidden/>
              </w:rPr>
              <w:t>14</w:t>
            </w:r>
            <w:r>
              <w:rPr>
                <w:noProof/>
                <w:webHidden/>
              </w:rPr>
              <w:fldChar w:fldCharType="end"/>
            </w:r>
          </w:hyperlink>
        </w:p>
        <w:p w14:paraId="28F88DA1" w14:textId="463550CA" w:rsidR="00AC5093" w:rsidRDefault="00AC5093">
          <w:pPr>
            <w:pStyle w:val="TM1"/>
            <w:tabs>
              <w:tab w:val="right" w:leader="dot" w:pos="9062"/>
            </w:tabs>
            <w:rPr>
              <w:noProof/>
            </w:rPr>
          </w:pPr>
          <w:hyperlink w:anchor="_Toc229338134" w:history="1">
            <w:r w:rsidRPr="00F03458">
              <w:rPr>
                <w:rStyle w:val="Lienhypertexte"/>
                <w:noProof/>
              </w:rPr>
              <w:t>Partie C : Mix énergétique, indépendance et CO2</w:t>
            </w:r>
            <w:r>
              <w:rPr>
                <w:noProof/>
                <w:webHidden/>
              </w:rPr>
              <w:tab/>
            </w:r>
            <w:r>
              <w:rPr>
                <w:noProof/>
                <w:webHidden/>
              </w:rPr>
              <w:fldChar w:fldCharType="begin"/>
            </w:r>
            <w:r>
              <w:rPr>
                <w:noProof/>
                <w:webHidden/>
              </w:rPr>
              <w:instrText xml:space="preserve"> PAGEREF _Toc229338134 \h </w:instrText>
            </w:r>
            <w:r>
              <w:rPr>
                <w:noProof/>
                <w:webHidden/>
              </w:rPr>
            </w:r>
            <w:r>
              <w:rPr>
                <w:noProof/>
                <w:webHidden/>
              </w:rPr>
              <w:fldChar w:fldCharType="separate"/>
            </w:r>
            <w:r>
              <w:rPr>
                <w:noProof/>
                <w:webHidden/>
              </w:rPr>
              <w:t>15</w:t>
            </w:r>
            <w:r>
              <w:rPr>
                <w:noProof/>
                <w:webHidden/>
              </w:rPr>
              <w:fldChar w:fldCharType="end"/>
            </w:r>
          </w:hyperlink>
        </w:p>
        <w:p w14:paraId="625E1D39" w14:textId="0B009DFF" w:rsidR="00AC5093" w:rsidRDefault="00AC5093">
          <w:pPr>
            <w:pStyle w:val="TM2"/>
            <w:tabs>
              <w:tab w:val="left" w:pos="720"/>
              <w:tab w:val="right" w:leader="dot" w:pos="9062"/>
            </w:tabs>
            <w:rPr>
              <w:noProof/>
            </w:rPr>
          </w:pPr>
          <w:hyperlink w:anchor="_Toc229338135" w:history="1">
            <w:r w:rsidRPr="00F03458">
              <w:rPr>
                <w:rStyle w:val="Lienhypertexte"/>
                <w:noProof/>
              </w:rPr>
              <w:t>1.</w:t>
            </w:r>
            <w:r>
              <w:rPr>
                <w:noProof/>
              </w:rPr>
              <w:tab/>
            </w:r>
            <w:r w:rsidRPr="00F03458">
              <w:rPr>
                <w:rStyle w:val="Lienhypertexte"/>
                <w:noProof/>
              </w:rPr>
              <w:t>Observation du mix énergétique</w:t>
            </w:r>
            <w:r>
              <w:rPr>
                <w:noProof/>
                <w:webHidden/>
              </w:rPr>
              <w:tab/>
            </w:r>
            <w:r>
              <w:rPr>
                <w:noProof/>
                <w:webHidden/>
              </w:rPr>
              <w:fldChar w:fldCharType="begin"/>
            </w:r>
            <w:r>
              <w:rPr>
                <w:noProof/>
                <w:webHidden/>
              </w:rPr>
              <w:instrText xml:space="preserve"> PAGEREF _Toc229338135 \h </w:instrText>
            </w:r>
            <w:r>
              <w:rPr>
                <w:noProof/>
                <w:webHidden/>
              </w:rPr>
            </w:r>
            <w:r>
              <w:rPr>
                <w:noProof/>
                <w:webHidden/>
              </w:rPr>
              <w:fldChar w:fldCharType="separate"/>
            </w:r>
            <w:r>
              <w:rPr>
                <w:noProof/>
                <w:webHidden/>
              </w:rPr>
              <w:t>15</w:t>
            </w:r>
            <w:r>
              <w:rPr>
                <w:noProof/>
                <w:webHidden/>
              </w:rPr>
              <w:fldChar w:fldCharType="end"/>
            </w:r>
          </w:hyperlink>
        </w:p>
        <w:p w14:paraId="4F93F557" w14:textId="466B48CD" w:rsidR="00AC5093" w:rsidRDefault="00AC5093">
          <w:pPr>
            <w:pStyle w:val="TM2"/>
            <w:tabs>
              <w:tab w:val="left" w:pos="720"/>
              <w:tab w:val="right" w:leader="dot" w:pos="9062"/>
            </w:tabs>
            <w:rPr>
              <w:noProof/>
            </w:rPr>
          </w:pPr>
          <w:hyperlink w:anchor="_Toc229338136" w:history="1">
            <w:r w:rsidRPr="00F03458">
              <w:rPr>
                <w:rStyle w:val="Lienhypertexte"/>
                <w:noProof/>
              </w:rPr>
              <w:t>2.</w:t>
            </w:r>
            <w:r>
              <w:rPr>
                <w:noProof/>
              </w:rPr>
              <w:tab/>
            </w:r>
            <w:r w:rsidRPr="00F03458">
              <w:rPr>
                <w:rStyle w:val="Lienhypertexte"/>
                <w:noProof/>
              </w:rPr>
              <w:t>Indépendance énergétique et flux commerciaux</w:t>
            </w:r>
            <w:r>
              <w:rPr>
                <w:noProof/>
                <w:webHidden/>
              </w:rPr>
              <w:tab/>
            </w:r>
            <w:r>
              <w:rPr>
                <w:noProof/>
                <w:webHidden/>
              </w:rPr>
              <w:fldChar w:fldCharType="begin"/>
            </w:r>
            <w:r>
              <w:rPr>
                <w:noProof/>
                <w:webHidden/>
              </w:rPr>
              <w:instrText xml:space="preserve"> PAGEREF _Toc229338136 \h </w:instrText>
            </w:r>
            <w:r>
              <w:rPr>
                <w:noProof/>
                <w:webHidden/>
              </w:rPr>
            </w:r>
            <w:r>
              <w:rPr>
                <w:noProof/>
                <w:webHidden/>
              </w:rPr>
              <w:fldChar w:fldCharType="separate"/>
            </w:r>
            <w:r>
              <w:rPr>
                <w:noProof/>
                <w:webHidden/>
              </w:rPr>
              <w:t>17</w:t>
            </w:r>
            <w:r>
              <w:rPr>
                <w:noProof/>
                <w:webHidden/>
              </w:rPr>
              <w:fldChar w:fldCharType="end"/>
            </w:r>
          </w:hyperlink>
        </w:p>
        <w:p w14:paraId="7A37D814" w14:textId="28050059" w:rsidR="00AC5093" w:rsidRDefault="00AC5093">
          <w:pPr>
            <w:pStyle w:val="TM2"/>
            <w:tabs>
              <w:tab w:val="left" w:pos="720"/>
              <w:tab w:val="right" w:leader="dot" w:pos="9062"/>
            </w:tabs>
            <w:rPr>
              <w:noProof/>
            </w:rPr>
          </w:pPr>
          <w:hyperlink w:anchor="_Toc229338137" w:history="1">
            <w:r w:rsidRPr="00F03458">
              <w:rPr>
                <w:rStyle w:val="Lienhypertexte"/>
                <w:noProof/>
              </w:rPr>
              <w:t>3.</w:t>
            </w:r>
            <w:r>
              <w:rPr>
                <w:noProof/>
              </w:rPr>
              <w:tab/>
            </w:r>
            <w:r w:rsidRPr="00F03458">
              <w:rPr>
                <w:rStyle w:val="Lienhypertexte"/>
                <w:noProof/>
              </w:rPr>
              <w:t>Corrélation entre consommation et émission de CO2</w:t>
            </w:r>
            <w:r>
              <w:rPr>
                <w:noProof/>
                <w:webHidden/>
              </w:rPr>
              <w:tab/>
            </w:r>
            <w:r>
              <w:rPr>
                <w:noProof/>
                <w:webHidden/>
              </w:rPr>
              <w:fldChar w:fldCharType="begin"/>
            </w:r>
            <w:r>
              <w:rPr>
                <w:noProof/>
                <w:webHidden/>
              </w:rPr>
              <w:instrText xml:space="preserve"> PAGEREF _Toc229338137 \h </w:instrText>
            </w:r>
            <w:r>
              <w:rPr>
                <w:noProof/>
                <w:webHidden/>
              </w:rPr>
            </w:r>
            <w:r>
              <w:rPr>
                <w:noProof/>
                <w:webHidden/>
              </w:rPr>
              <w:fldChar w:fldCharType="separate"/>
            </w:r>
            <w:r>
              <w:rPr>
                <w:noProof/>
                <w:webHidden/>
              </w:rPr>
              <w:t>18</w:t>
            </w:r>
            <w:r>
              <w:rPr>
                <w:noProof/>
                <w:webHidden/>
              </w:rPr>
              <w:fldChar w:fldCharType="end"/>
            </w:r>
          </w:hyperlink>
        </w:p>
        <w:p w14:paraId="6A316983" w14:textId="04A9C4A0" w:rsidR="00CF20F2" w:rsidRPr="00CF20F2" w:rsidRDefault="00AC5093" w:rsidP="00CF20F2">
          <w:pPr>
            <w:pStyle w:val="TM1"/>
            <w:tabs>
              <w:tab w:val="right" w:leader="dot" w:pos="9062"/>
            </w:tabs>
            <w:rPr>
              <w:noProof/>
              <w:color w:val="467886" w:themeColor="hyperlink"/>
              <w:u w:val="single"/>
            </w:rPr>
          </w:pPr>
          <w:hyperlink w:anchor="_Toc229338138" w:history="1">
            <w:r w:rsidRPr="00F03458">
              <w:rPr>
                <w:rStyle w:val="Lienhypertexte"/>
                <w:noProof/>
              </w:rPr>
              <w:t>Conclusion général</w:t>
            </w:r>
            <w:r>
              <w:rPr>
                <w:noProof/>
                <w:webHidden/>
              </w:rPr>
              <w:tab/>
            </w:r>
            <w:r>
              <w:rPr>
                <w:noProof/>
                <w:webHidden/>
              </w:rPr>
              <w:fldChar w:fldCharType="begin"/>
            </w:r>
            <w:r>
              <w:rPr>
                <w:noProof/>
                <w:webHidden/>
              </w:rPr>
              <w:instrText xml:space="preserve"> PAGEREF _Toc229338138 \h </w:instrText>
            </w:r>
            <w:r>
              <w:rPr>
                <w:noProof/>
                <w:webHidden/>
              </w:rPr>
            </w:r>
            <w:r>
              <w:rPr>
                <w:noProof/>
                <w:webHidden/>
              </w:rPr>
              <w:fldChar w:fldCharType="separate"/>
            </w:r>
            <w:r>
              <w:rPr>
                <w:noProof/>
                <w:webHidden/>
              </w:rPr>
              <w:t>19</w:t>
            </w:r>
            <w:r>
              <w:rPr>
                <w:noProof/>
                <w:webHidden/>
              </w:rPr>
              <w:fldChar w:fldCharType="end"/>
            </w:r>
          </w:hyperlink>
        </w:p>
        <w:p w14:paraId="2EEB5671" w14:textId="46D9201E" w:rsidR="00AC5093" w:rsidRDefault="00AC5093">
          <w:r>
            <w:rPr>
              <w:b/>
              <w:bCs/>
            </w:rPr>
            <w:fldChar w:fldCharType="end"/>
          </w:r>
        </w:p>
      </w:sdtContent>
    </w:sdt>
    <w:p w14:paraId="33F95969" w14:textId="4D5D3248" w:rsidR="00870A97" w:rsidRDefault="00870A97">
      <w:pPr>
        <w:ind w:left="360"/>
        <w:rPr>
          <w:rFonts w:cs="Calibri"/>
          <w:szCs w:val="28"/>
        </w:rPr>
      </w:pPr>
    </w:p>
    <w:p w14:paraId="33F9596A" w14:textId="77777777" w:rsidR="00870A97" w:rsidRDefault="00000000">
      <w:pPr>
        <w:pStyle w:val="Titre1"/>
      </w:pPr>
      <w:bookmarkStart w:id="0" w:name="_Toc229338101"/>
      <w:r>
        <w:t>Introduction :</w:t>
      </w:r>
      <w:bookmarkEnd w:id="0"/>
    </w:p>
    <w:p w14:paraId="33F9596C" w14:textId="55EE24A3" w:rsidR="00870A97" w:rsidRDefault="00000000" w:rsidP="000F042A">
      <w:r>
        <w:t>L’énergie occupe une place centrale dans nos sociétés modernes. Elle conditionne le fonctionnement de l’économie, le confort des ménages, le développement industriel mais aussi, de plus en plus, les choix environnementaux des États. La France, dotée d’un parc nucléaire historique et engagée dans la transition énergétique, présente un cas particulièrement intéressant à étudier : son mix énergétique combine en effet une production électrique largement décarbonée avec une consommation final encore très dépendante des énergies fossiles, notamment dans les transports et le chauffage.</w:t>
      </w:r>
    </w:p>
    <w:p w14:paraId="236D2860" w14:textId="77777777" w:rsidR="000F042A" w:rsidRDefault="000F042A" w:rsidP="000F042A"/>
    <w:p w14:paraId="392C8BF6" w14:textId="64204C38" w:rsidR="000F042A" w:rsidRDefault="000F042A" w:rsidP="000F042A">
      <w:pPr>
        <w:rPr>
          <w:rFonts w:cs="Calibri"/>
          <w:szCs w:val="28"/>
        </w:rPr>
      </w:pPr>
      <w:r w:rsidRPr="000F042A">
        <w:rPr>
          <w:rFonts w:cs="Calibri"/>
          <w:szCs w:val="28"/>
        </w:rPr>
        <w:t xml:space="preserve">Dans le cadre de cette SAÉ, nous avons exploité deux bases de données publiques publiées par le </w:t>
      </w:r>
      <w:r w:rsidRPr="000F042A">
        <w:rPr>
          <w:rFonts w:cs="Calibri"/>
          <w:b/>
          <w:bCs/>
          <w:szCs w:val="28"/>
        </w:rPr>
        <w:t>Service des données et études statistiques (SDES)</w:t>
      </w:r>
      <w:r w:rsidRPr="000F042A">
        <w:rPr>
          <w:rFonts w:cs="Calibri"/>
          <w:szCs w:val="28"/>
        </w:rPr>
        <w:t xml:space="preserve"> du Ministère de la Transition écologique :</w:t>
      </w:r>
    </w:p>
    <w:p w14:paraId="37C7336A" w14:textId="0662D298" w:rsidR="000F042A" w:rsidRPr="000F042A" w:rsidRDefault="000F042A" w:rsidP="000F042A">
      <w:pPr>
        <w:pStyle w:val="Paragraphedeliste"/>
        <w:numPr>
          <w:ilvl w:val="0"/>
          <w:numId w:val="2"/>
        </w:numPr>
        <w:rPr>
          <w:rFonts w:cs="Calibri"/>
          <w:szCs w:val="28"/>
        </w:rPr>
      </w:pPr>
      <w:r w:rsidRPr="000F042A">
        <w:rPr>
          <w:rFonts w:cs="Calibri"/>
          <w:b/>
          <w:bCs/>
          <w:szCs w:val="28"/>
        </w:rPr>
        <w:t>4.1-Synthese-toutes-energies.csv</w:t>
      </w:r>
      <w:r w:rsidRPr="000F042A">
        <w:rPr>
          <w:rFonts w:cs="Calibri"/>
          <w:szCs w:val="28"/>
        </w:rPr>
        <w:t xml:space="preserve"> : données mensuelles sur la production, l'importation, l'exportation et la consommation de toutes les énergies en France (charbon, pétrole, gaz, nucléaire, EnR), ainsi que les émissions de CO2 associées. </w:t>
      </w:r>
    </w:p>
    <w:p w14:paraId="08396717" w14:textId="01F8D653" w:rsidR="000F042A" w:rsidRPr="000F042A" w:rsidRDefault="000F042A" w:rsidP="000F042A">
      <w:pPr>
        <w:pStyle w:val="Paragraphedeliste"/>
        <w:numPr>
          <w:ilvl w:val="0"/>
          <w:numId w:val="2"/>
        </w:numPr>
        <w:rPr>
          <w:rFonts w:cs="Calibri"/>
          <w:szCs w:val="28"/>
        </w:rPr>
      </w:pPr>
      <w:r w:rsidRPr="000F042A">
        <w:rPr>
          <w:rFonts w:cs="Calibri"/>
          <w:b/>
          <w:bCs/>
          <w:szCs w:val="28"/>
        </w:rPr>
        <w:t>4.2-Synthese-Electricite.csv</w:t>
      </w:r>
      <w:r w:rsidRPr="000F042A">
        <w:rPr>
          <w:rFonts w:cs="Calibri"/>
          <w:szCs w:val="28"/>
        </w:rPr>
        <w:t xml:space="preserve"> : données mensuelles spécifiques à la production électrique par source (hydraulique, éolien, solaire, nucléaire) et aux échanges d'électricité avec l'étranger.</w:t>
      </w:r>
    </w:p>
    <w:p w14:paraId="33F9596D" w14:textId="77777777" w:rsidR="00870A97" w:rsidRDefault="00870A97">
      <w:pPr>
        <w:ind w:left="360"/>
        <w:rPr>
          <w:rFonts w:cs="Calibri"/>
          <w:szCs w:val="28"/>
        </w:rPr>
      </w:pPr>
    </w:p>
    <w:p w14:paraId="54C04162" w14:textId="77777777" w:rsidR="000D7BF3" w:rsidRPr="000D7BF3" w:rsidRDefault="000D7BF3" w:rsidP="000D7BF3">
      <w:pPr>
        <w:ind w:left="360"/>
        <w:rPr>
          <w:rFonts w:cs="Calibri"/>
          <w:szCs w:val="28"/>
        </w:rPr>
      </w:pPr>
      <w:r w:rsidRPr="000D7BF3">
        <w:rPr>
          <w:rFonts w:cs="Calibri"/>
          <w:szCs w:val="28"/>
        </w:rPr>
        <w:t xml:space="preserve">Notre travail s'organise autour d'une </w:t>
      </w:r>
      <w:r w:rsidRPr="000D7BF3">
        <w:rPr>
          <w:rFonts w:cs="Calibri"/>
          <w:b/>
          <w:bCs/>
          <w:szCs w:val="28"/>
        </w:rPr>
        <w:t>problématique commune</w:t>
      </w:r>
      <w:r w:rsidRPr="000D7BF3">
        <w:rPr>
          <w:rFonts w:cs="Calibri"/>
          <w:szCs w:val="28"/>
        </w:rPr>
        <w:t xml:space="preserve"> :</w:t>
      </w:r>
    </w:p>
    <w:p w14:paraId="6E9920D2" w14:textId="77777777" w:rsidR="000D7BF3" w:rsidRDefault="000D7BF3" w:rsidP="000D7BF3">
      <w:pPr>
        <w:ind w:left="360"/>
        <w:rPr>
          <w:rFonts w:cs="Calibri"/>
          <w:b/>
          <w:bCs/>
          <w:szCs w:val="28"/>
        </w:rPr>
      </w:pPr>
      <w:r w:rsidRPr="000D7BF3">
        <w:rPr>
          <w:rFonts w:cs="Calibri"/>
          <w:b/>
          <w:bCs/>
          <w:szCs w:val="28"/>
        </w:rPr>
        <w:t>Comment le système énergétique français a-t-il évolué entre 2006 et 2022, et quels sont les liens entre production, consommation, climat et émissions de CO2 ?</w:t>
      </w:r>
    </w:p>
    <w:p w14:paraId="1B1D86BF" w14:textId="77777777" w:rsidR="00EB2A7E" w:rsidRPr="000D7BF3" w:rsidRDefault="00EB2A7E" w:rsidP="000D7BF3">
      <w:pPr>
        <w:ind w:left="360"/>
        <w:rPr>
          <w:rFonts w:cs="Calibri"/>
          <w:szCs w:val="28"/>
        </w:rPr>
      </w:pPr>
    </w:p>
    <w:p w14:paraId="038CF86D" w14:textId="77777777" w:rsidR="000D7BF3" w:rsidRPr="000D7BF3" w:rsidRDefault="000D7BF3" w:rsidP="000D7BF3">
      <w:pPr>
        <w:ind w:left="360"/>
        <w:rPr>
          <w:rFonts w:cs="Calibri"/>
          <w:szCs w:val="28"/>
        </w:rPr>
      </w:pPr>
      <w:r w:rsidRPr="000D7BF3">
        <w:rPr>
          <w:rFonts w:cs="Calibri"/>
          <w:szCs w:val="28"/>
        </w:rPr>
        <w:t xml:space="preserve">Pour répondre à cette question, nous avons découpé l'analyse en </w:t>
      </w:r>
      <w:r w:rsidRPr="000D7BF3">
        <w:rPr>
          <w:rFonts w:cs="Calibri"/>
          <w:b/>
          <w:bCs/>
          <w:szCs w:val="28"/>
        </w:rPr>
        <w:t>trois axes complémentaires</w:t>
      </w:r>
      <w:r w:rsidRPr="000D7BF3">
        <w:rPr>
          <w:rFonts w:cs="Calibri"/>
          <w:szCs w:val="28"/>
        </w:rPr>
        <w:t>, chacun étant traité par un membre du groupe :</w:t>
      </w:r>
    </w:p>
    <w:p w14:paraId="522322DF" w14:textId="77777777" w:rsidR="000D7BF3" w:rsidRPr="000D7BF3" w:rsidRDefault="000D7BF3" w:rsidP="000D7BF3">
      <w:pPr>
        <w:numPr>
          <w:ilvl w:val="0"/>
          <w:numId w:val="3"/>
        </w:numPr>
        <w:rPr>
          <w:rFonts w:cs="Calibri"/>
          <w:szCs w:val="28"/>
        </w:rPr>
      </w:pPr>
      <w:r w:rsidRPr="000D7BF3">
        <w:rPr>
          <w:rFonts w:cs="Calibri"/>
          <w:b/>
          <w:bCs/>
          <w:szCs w:val="28"/>
        </w:rPr>
        <w:t>Partie A — La production d'électricité</w:t>
      </w:r>
      <w:r w:rsidRPr="000D7BF3">
        <w:rPr>
          <w:rFonts w:cs="Calibri"/>
          <w:szCs w:val="28"/>
        </w:rPr>
        <w:t xml:space="preserve"> : étude de l'évolution des quatre grandes sources (hydraulique, éolien, solaire, nucléaire) et de la transformation progressive du mix électrique français.</w:t>
      </w:r>
    </w:p>
    <w:p w14:paraId="28FDA479" w14:textId="77777777" w:rsidR="000D7BF3" w:rsidRPr="000D7BF3" w:rsidRDefault="000D7BF3" w:rsidP="000D7BF3">
      <w:pPr>
        <w:numPr>
          <w:ilvl w:val="0"/>
          <w:numId w:val="3"/>
        </w:numPr>
        <w:rPr>
          <w:rFonts w:cs="Calibri"/>
          <w:szCs w:val="28"/>
        </w:rPr>
      </w:pPr>
      <w:r w:rsidRPr="000D7BF3">
        <w:rPr>
          <w:rFonts w:cs="Calibri"/>
          <w:b/>
          <w:bCs/>
          <w:szCs w:val="28"/>
        </w:rPr>
        <w:t>Partie B — La consommation d'électricité et son lien avec le climat</w:t>
      </w:r>
      <w:r w:rsidRPr="000D7BF3">
        <w:rPr>
          <w:rFonts w:cs="Calibri"/>
          <w:szCs w:val="28"/>
        </w:rPr>
        <w:t xml:space="preserve"> : analyse de la saisonnalité de la consommation et de sa dépendance à la rigueur climatique (degrés jours unifiés).</w:t>
      </w:r>
    </w:p>
    <w:p w14:paraId="259B792B" w14:textId="77777777" w:rsidR="000D7BF3" w:rsidRDefault="000D7BF3" w:rsidP="000D7BF3">
      <w:pPr>
        <w:numPr>
          <w:ilvl w:val="0"/>
          <w:numId w:val="3"/>
        </w:numPr>
        <w:rPr>
          <w:rFonts w:cs="Calibri"/>
          <w:szCs w:val="28"/>
        </w:rPr>
      </w:pPr>
      <w:r w:rsidRPr="000D7BF3">
        <w:rPr>
          <w:rFonts w:cs="Calibri"/>
          <w:b/>
          <w:bCs/>
          <w:szCs w:val="28"/>
        </w:rPr>
        <w:t>Partie C — Le mix énergétique global et les émissions de CO2</w:t>
      </w:r>
      <w:r w:rsidRPr="000D7BF3">
        <w:rPr>
          <w:rFonts w:cs="Calibri"/>
          <w:szCs w:val="28"/>
        </w:rPr>
        <w:t xml:space="preserve"> : étude du taux d'indépendance énergétique de la France et de la corrélation entre consommation d'énergies fossiles et émissions de CO2.</w:t>
      </w:r>
    </w:p>
    <w:p w14:paraId="210842D0" w14:textId="3FA93493" w:rsidR="0074513E" w:rsidRDefault="0074513E" w:rsidP="0074513E">
      <w:pPr>
        <w:ind w:left="720"/>
        <w:rPr>
          <w:rFonts w:cs="Calibri"/>
          <w:szCs w:val="28"/>
        </w:rPr>
      </w:pPr>
    </w:p>
    <w:p w14:paraId="57B90972" w14:textId="77777777" w:rsidR="0074513E" w:rsidRDefault="0074513E" w:rsidP="0074513E">
      <w:pPr>
        <w:ind w:left="720"/>
        <w:rPr>
          <w:rFonts w:cs="Calibri"/>
          <w:szCs w:val="28"/>
        </w:rPr>
      </w:pPr>
    </w:p>
    <w:p w14:paraId="18A29BB2" w14:textId="77777777" w:rsidR="0074513E" w:rsidRPr="000D7BF3" w:rsidRDefault="0074513E" w:rsidP="0074513E">
      <w:pPr>
        <w:ind w:left="720"/>
        <w:rPr>
          <w:rFonts w:cs="Calibri"/>
          <w:szCs w:val="28"/>
        </w:rPr>
      </w:pPr>
    </w:p>
    <w:p w14:paraId="58843DD6" w14:textId="4BFCACD4" w:rsidR="000D7BF3" w:rsidRDefault="000D7BF3" w:rsidP="000D7BF3">
      <w:pPr>
        <w:ind w:left="360"/>
        <w:rPr>
          <w:rFonts w:cs="Calibri"/>
          <w:szCs w:val="28"/>
        </w:rPr>
      </w:pPr>
      <w:r w:rsidRPr="000D7BF3">
        <w:rPr>
          <w:rFonts w:cs="Calibri"/>
          <w:szCs w:val="28"/>
        </w:rPr>
        <w:t xml:space="preserve">L'ensemble des traitements a été réalisé sous </w:t>
      </w:r>
      <w:r w:rsidRPr="000D7BF3">
        <w:rPr>
          <w:rFonts w:cs="Calibri"/>
          <w:b/>
          <w:bCs/>
          <w:szCs w:val="28"/>
        </w:rPr>
        <w:t>Microsoft Excel</w:t>
      </w:r>
      <w:r w:rsidRPr="000D7BF3">
        <w:rPr>
          <w:rFonts w:cs="Calibri"/>
          <w:szCs w:val="28"/>
        </w:rPr>
        <w:t xml:space="preserve"> (tableaux croisés dynamiques, graphiques, calculs statistiques, régressions linéaires) complété ponctuellement par </w:t>
      </w:r>
      <w:proofErr w:type="spellStart"/>
      <w:r w:rsidRPr="000D7BF3">
        <w:rPr>
          <w:rFonts w:cs="Calibri"/>
          <w:b/>
          <w:bCs/>
          <w:szCs w:val="28"/>
        </w:rPr>
        <w:t>GeoGebra</w:t>
      </w:r>
      <w:proofErr w:type="spellEnd"/>
      <w:r w:rsidRPr="000D7BF3">
        <w:rPr>
          <w:rFonts w:cs="Calibri"/>
          <w:szCs w:val="28"/>
        </w:rPr>
        <w:t xml:space="preserve"> pour la production d'histogrammes et de bo</w:t>
      </w:r>
      <w:r w:rsidR="0074513E">
        <w:rPr>
          <w:rFonts w:cs="Calibri"/>
          <w:szCs w:val="28"/>
        </w:rPr>
        <w:t>ite à moustaches</w:t>
      </w:r>
      <w:r w:rsidRPr="000D7BF3">
        <w:rPr>
          <w:rFonts w:cs="Calibri"/>
          <w:szCs w:val="28"/>
        </w:rPr>
        <w:t xml:space="preserve"> mathématiquement rigoureux.</w:t>
      </w:r>
    </w:p>
    <w:p w14:paraId="5FE768A8" w14:textId="77777777" w:rsidR="0080560C" w:rsidRDefault="0080560C" w:rsidP="000D7BF3">
      <w:pPr>
        <w:ind w:left="360"/>
        <w:rPr>
          <w:rFonts w:cs="Calibri"/>
          <w:szCs w:val="28"/>
        </w:rPr>
      </w:pPr>
    </w:p>
    <w:p w14:paraId="5E433A2B" w14:textId="71D43CCF" w:rsidR="0080560C" w:rsidRDefault="0080560C" w:rsidP="0080560C">
      <w:pPr>
        <w:pStyle w:val="Titre1"/>
        <w:numPr>
          <w:ilvl w:val="0"/>
          <w:numId w:val="4"/>
        </w:numPr>
      </w:pPr>
      <w:bookmarkStart w:id="1" w:name="_Toc229338102"/>
      <w:r>
        <w:t>Présentation des données et méthodologie</w:t>
      </w:r>
      <w:bookmarkEnd w:id="1"/>
    </w:p>
    <w:p w14:paraId="56DF9D07" w14:textId="0743E158" w:rsidR="0080560C" w:rsidRDefault="0080560C" w:rsidP="0080560C">
      <w:pPr>
        <w:pStyle w:val="Titre2"/>
        <w:numPr>
          <w:ilvl w:val="1"/>
          <w:numId w:val="4"/>
        </w:numPr>
      </w:pPr>
      <w:bookmarkStart w:id="2" w:name="_Toc229338103"/>
      <w:r>
        <w:t>Sources</w:t>
      </w:r>
      <w:bookmarkEnd w:id="2"/>
    </w:p>
    <w:p w14:paraId="762FA676" w14:textId="77777777" w:rsidR="00937950" w:rsidRPr="00937950" w:rsidRDefault="00937950" w:rsidP="00937950"/>
    <w:p w14:paraId="6FB17E36" w14:textId="28588416" w:rsidR="0080560C" w:rsidRDefault="0080560C" w:rsidP="0080560C">
      <w:pPr>
        <w:ind w:left="360"/>
      </w:pPr>
      <w:r w:rsidRPr="0080560C">
        <w:t xml:space="preserve">Les deux fichiers utilisés sont issus du portail officiel </w:t>
      </w:r>
      <w:r w:rsidRPr="0080560C">
        <w:rPr>
          <w:b/>
          <w:bCs/>
        </w:rPr>
        <w:t>statistiques.developpement-durable.gouv.fr</w:t>
      </w:r>
      <w:r w:rsidRPr="0080560C">
        <w:t xml:space="preserve"> et couvrent la période de </w:t>
      </w:r>
      <w:r w:rsidRPr="0080560C">
        <w:rPr>
          <w:b/>
          <w:bCs/>
        </w:rPr>
        <w:t>janvier 2006 à décembre 2022</w:t>
      </w:r>
      <w:r w:rsidRPr="0080560C">
        <w:t xml:space="preserve">, soit </w:t>
      </w:r>
      <w:r w:rsidRPr="0080560C">
        <w:rPr>
          <w:b/>
          <w:bCs/>
        </w:rPr>
        <w:t>204 observations mensuelles</w:t>
      </w:r>
      <w:r w:rsidRPr="0080560C">
        <w:t xml:space="preserve"> par variable.</w:t>
      </w:r>
    </w:p>
    <w:p w14:paraId="567F895A" w14:textId="77777777" w:rsidR="00937950" w:rsidRDefault="00937950" w:rsidP="0080560C">
      <w:pPr>
        <w:ind w:left="360"/>
      </w:pPr>
    </w:p>
    <w:p w14:paraId="25DDC705" w14:textId="1823F81B" w:rsidR="00937950" w:rsidRDefault="00937950" w:rsidP="00937950">
      <w:pPr>
        <w:pStyle w:val="Titre2"/>
        <w:numPr>
          <w:ilvl w:val="1"/>
          <w:numId w:val="4"/>
        </w:numPr>
      </w:pPr>
      <w:bookmarkStart w:id="3" w:name="_Toc229338104"/>
      <w:r>
        <w:t>Traitements communs effectués</w:t>
      </w:r>
      <w:bookmarkEnd w:id="3"/>
      <w:r>
        <w:t xml:space="preserve"> </w:t>
      </w:r>
    </w:p>
    <w:p w14:paraId="2AAACB3D" w14:textId="1B4103A2" w:rsidR="00937950" w:rsidRPr="00937950" w:rsidRDefault="00937950" w:rsidP="00937950">
      <w:pPr>
        <w:pStyle w:val="Paragraphedeliste"/>
        <w:numPr>
          <w:ilvl w:val="0"/>
          <w:numId w:val="5"/>
        </w:numPr>
      </w:pPr>
      <w:r w:rsidRPr="00937950">
        <w:rPr>
          <w:b/>
          <w:bCs/>
        </w:rPr>
        <w:t>Nettoyage</w:t>
      </w:r>
      <w:r w:rsidRPr="00937950">
        <w:t xml:space="preserve"> : suppression des lignes incomplètes, vérification de l'encodage (UTF-8), uniformisation du format des dates (AAAA-MM). </w:t>
      </w:r>
    </w:p>
    <w:p w14:paraId="7543AE4F" w14:textId="71E8869A" w:rsidR="00937950" w:rsidRPr="00937950" w:rsidRDefault="00937950" w:rsidP="00937950">
      <w:pPr>
        <w:pStyle w:val="Paragraphedeliste"/>
        <w:numPr>
          <w:ilvl w:val="0"/>
          <w:numId w:val="5"/>
        </w:numPr>
      </w:pPr>
      <w:r w:rsidRPr="00937950">
        <w:rPr>
          <w:b/>
          <w:bCs/>
        </w:rPr>
        <w:t>Enrichissement</w:t>
      </w:r>
      <w:r w:rsidRPr="00937950">
        <w:t xml:space="preserve"> : ajout des colonnes Année et Mois extraites de la colonne Période pour permettre les agrégations annuelles et l'analyse de saisonnalité. </w:t>
      </w:r>
    </w:p>
    <w:p w14:paraId="40831405" w14:textId="21903B51" w:rsidR="00937950" w:rsidRPr="00937950" w:rsidRDefault="00937950" w:rsidP="00937950">
      <w:pPr>
        <w:pStyle w:val="Paragraphedeliste"/>
        <w:numPr>
          <w:ilvl w:val="0"/>
          <w:numId w:val="5"/>
        </w:numPr>
      </w:pPr>
      <w:r w:rsidRPr="00937950">
        <w:rPr>
          <w:b/>
          <w:bCs/>
        </w:rPr>
        <w:t>Conversion énergétique</w:t>
      </w:r>
      <w:r w:rsidRPr="00937950">
        <w:t xml:space="preserve"> : la production nucléaire étant fournie en équivalent primaire (chaleur), elle a été divisée par 3 (rendement thermique ≈ 33 %) pour obtenir l'équivalent en électricité produite. </w:t>
      </w:r>
    </w:p>
    <w:p w14:paraId="1A2853CF" w14:textId="3F14DACC" w:rsidR="00937950" w:rsidRDefault="00937950" w:rsidP="00937950">
      <w:pPr>
        <w:pStyle w:val="Paragraphedeliste"/>
        <w:numPr>
          <w:ilvl w:val="0"/>
          <w:numId w:val="5"/>
        </w:numPr>
      </w:pPr>
      <w:r w:rsidRPr="00937950">
        <w:rPr>
          <w:b/>
          <w:bCs/>
        </w:rPr>
        <w:lastRenderedPageBreak/>
        <w:t>Calculs dérivés</w:t>
      </w:r>
      <w:r w:rsidRPr="00937950">
        <w:t xml:space="preserve"> : création des indicateurs </w:t>
      </w:r>
      <w:proofErr w:type="spellStart"/>
      <w:r w:rsidRPr="00937950">
        <w:t>Total_EnR</w:t>
      </w:r>
      <w:proofErr w:type="spellEnd"/>
      <w:r w:rsidRPr="00937950">
        <w:t xml:space="preserve">, </w:t>
      </w:r>
      <w:proofErr w:type="spellStart"/>
      <w:r w:rsidRPr="00937950">
        <w:t>Total_Production</w:t>
      </w:r>
      <w:proofErr w:type="spellEnd"/>
      <w:r w:rsidRPr="00937950">
        <w:t xml:space="preserve">, </w:t>
      </w:r>
      <w:proofErr w:type="spellStart"/>
      <w:r w:rsidRPr="00937950">
        <w:t>Part_Nucléaire</w:t>
      </w:r>
      <w:proofErr w:type="spellEnd"/>
      <w:r w:rsidRPr="00937950">
        <w:t xml:space="preserve">, </w:t>
      </w:r>
      <w:proofErr w:type="spellStart"/>
      <w:r w:rsidRPr="00937950">
        <w:t>Part_EnR</w:t>
      </w:r>
      <w:proofErr w:type="spellEnd"/>
      <w:r w:rsidRPr="00937950">
        <w:t xml:space="preserve">, </w:t>
      </w:r>
      <w:proofErr w:type="spellStart"/>
      <w:r w:rsidRPr="00937950">
        <w:t>Conso_Fossile</w:t>
      </w:r>
      <w:proofErr w:type="spellEnd"/>
      <w:r w:rsidRPr="00937950">
        <w:t>.</w:t>
      </w:r>
    </w:p>
    <w:p w14:paraId="074AC752" w14:textId="43DEFB13" w:rsidR="007E6908" w:rsidRDefault="007E6908" w:rsidP="007E6908">
      <w:pPr>
        <w:pStyle w:val="Titre2"/>
        <w:numPr>
          <w:ilvl w:val="1"/>
          <w:numId w:val="4"/>
        </w:numPr>
      </w:pPr>
      <w:bookmarkStart w:id="4" w:name="_Toc229338105"/>
      <w:r>
        <w:t>Outils utilisés</w:t>
      </w:r>
      <w:bookmarkEnd w:id="4"/>
      <w:r>
        <w:t> </w:t>
      </w:r>
    </w:p>
    <w:p w14:paraId="70BC9DF0" w14:textId="77777777" w:rsidR="007E6908" w:rsidRDefault="007E6908" w:rsidP="007E6908"/>
    <w:tbl>
      <w:tblPr>
        <w:tblStyle w:val="Grilledutableau"/>
        <w:tblW w:w="0" w:type="auto"/>
        <w:tblLook w:val="04A0" w:firstRow="1" w:lastRow="0" w:firstColumn="1" w:lastColumn="0" w:noHBand="0" w:noVBand="1"/>
      </w:tblPr>
      <w:tblGrid>
        <w:gridCol w:w="1754"/>
        <w:gridCol w:w="7308"/>
      </w:tblGrid>
      <w:tr w:rsidR="007E6908" w:rsidRPr="007E6908" w14:paraId="1021B2A1" w14:textId="77777777" w:rsidTr="007E6908">
        <w:tc>
          <w:tcPr>
            <w:tcW w:w="0" w:type="auto"/>
            <w:hideMark/>
          </w:tcPr>
          <w:p w14:paraId="71509C0F" w14:textId="77777777" w:rsidR="007E6908" w:rsidRPr="007E6908" w:rsidRDefault="007E6908" w:rsidP="007E6908">
            <w:pPr>
              <w:ind w:left="360"/>
              <w:rPr>
                <w:b/>
                <w:bCs/>
              </w:rPr>
            </w:pPr>
            <w:r w:rsidRPr="007E6908">
              <w:rPr>
                <w:b/>
                <w:bCs/>
              </w:rPr>
              <w:t>Outil</w:t>
            </w:r>
          </w:p>
        </w:tc>
        <w:tc>
          <w:tcPr>
            <w:tcW w:w="0" w:type="auto"/>
            <w:hideMark/>
          </w:tcPr>
          <w:p w14:paraId="3C7FDBD8" w14:textId="77777777" w:rsidR="007E6908" w:rsidRPr="007E6908" w:rsidRDefault="007E6908" w:rsidP="007E6908">
            <w:pPr>
              <w:ind w:left="360"/>
              <w:rPr>
                <w:b/>
                <w:bCs/>
              </w:rPr>
            </w:pPr>
            <w:r w:rsidRPr="007E6908">
              <w:rPr>
                <w:b/>
                <w:bCs/>
              </w:rPr>
              <w:t>Usage</w:t>
            </w:r>
          </w:p>
        </w:tc>
      </w:tr>
      <w:tr w:rsidR="007E6908" w:rsidRPr="007E6908" w14:paraId="76626040" w14:textId="77777777" w:rsidTr="007E6908">
        <w:tc>
          <w:tcPr>
            <w:tcW w:w="0" w:type="auto"/>
            <w:hideMark/>
          </w:tcPr>
          <w:p w14:paraId="77CE9710" w14:textId="77777777" w:rsidR="007E6908" w:rsidRPr="007E6908" w:rsidRDefault="007E6908" w:rsidP="007E6908">
            <w:pPr>
              <w:ind w:left="360"/>
            </w:pPr>
            <w:r w:rsidRPr="007E6908">
              <w:rPr>
                <w:b/>
                <w:bCs/>
              </w:rPr>
              <w:t>Excel</w:t>
            </w:r>
          </w:p>
        </w:tc>
        <w:tc>
          <w:tcPr>
            <w:tcW w:w="0" w:type="auto"/>
            <w:hideMark/>
          </w:tcPr>
          <w:p w14:paraId="4B863314" w14:textId="77777777" w:rsidR="007E6908" w:rsidRPr="007E6908" w:rsidRDefault="007E6908" w:rsidP="007E6908">
            <w:pPr>
              <w:ind w:left="360"/>
            </w:pPr>
            <w:r w:rsidRPr="007E6908">
              <w:t>TCD, graphiques, calculs statistiques, régressions linéaires</w:t>
            </w:r>
          </w:p>
        </w:tc>
      </w:tr>
      <w:tr w:rsidR="007E6908" w:rsidRPr="007E6908" w14:paraId="0207D48A" w14:textId="77777777" w:rsidTr="007E6908">
        <w:tc>
          <w:tcPr>
            <w:tcW w:w="0" w:type="auto"/>
            <w:hideMark/>
          </w:tcPr>
          <w:p w14:paraId="37137D39" w14:textId="77777777" w:rsidR="007E6908" w:rsidRPr="007E6908" w:rsidRDefault="007E6908" w:rsidP="007E6908">
            <w:pPr>
              <w:ind w:left="360"/>
            </w:pPr>
            <w:proofErr w:type="spellStart"/>
            <w:r w:rsidRPr="007E6908">
              <w:rPr>
                <w:b/>
                <w:bCs/>
              </w:rPr>
              <w:t>GeoGebra</w:t>
            </w:r>
            <w:proofErr w:type="spellEnd"/>
          </w:p>
        </w:tc>
        <w:tc>
          <w:tcPr>
            <w:tcW w:w="0" w:type="auto"/>
            <w:hideMark/>
          </w:tcPr>
          <w:p w14:paraId="01B7C4DC" w14:textId="6E2C1737" w:rsidR="007E6908" w:rsidRPr="007E6908" w:rsidRDefault="007E6908" w:rsidP="007E6908">
            <w:pPr>
              <w:ind w:left="360"/>
            </w:pPr>
            <w:r w:rsidRPr="007E6908">
              <w:t xml:space="preserve">Histogrammes et </w:t>
            </w:r>
            <w:r w:rsidR="00B93A9D">
              <w:t>boite à moustaches</w:t>
            </w:r>
            <w:r w:rsidRPr="007E6908">
              <w:t xml:space="preserve"> mathématiquement rigoureux</w:t>
            </w:r>
          </w:p>
        </w:tc>
      </w:tr>
      <w:tr w:rsidR="007E6908" w:rsidRPr="007E6908" w14:paraId="15272580" w14:textId="77777777" w:rsidTr="007E6908">
        <w:tc>
          <w:tcPr>
            <w:tcW w:w="0" w:type="auto"/>
            <w:hideMark/>
          </w:tcPr>
          <w:p w14:paraId="0171507C" w14:textId="77777777" w:rsidR="007E6908" w:rsidRPr="007E6908" w:rsidRDefault="007E6908" w:rsidP="007E6908">
            <w:pPr>
              <w:ind w:left="360"/>
            </w:pPr>
            <w:r w:rsidRPr="007E6908">
              <w:rPr>
                <w:b/>
                <w:bCs/>
              </w:rPr>
              <w:t>Word</w:t>
            </w:r>
          </w:p>
        </w:tc>
        <w:tc>
          <w:tcPr>
            <w:tcW w:w="0" w:type="auto"/>
            <w:hideMark/>
          </w:tcPr>
          <w:p w14:paraId="73295ECF" w14:textId="77777777" w:rsidR="007E6908" w:rsidRPr="007E6908" w:rsidRDefault="007E6908" w:rsidP="007E6908">
            <w:pPr>
              <w:ind w:left="360"/>
            </w:pPr>
            <w:r w:rsidRPr="007E6908">
              <w:t>Rédaction du rapport</w:t>
            </w:r>
          </w:p>
        </w:tc>
      </w:tr>
    </w:tbl>
    <w:p w14:paraId="247C3183" w14:textId="77777777" w:rsidR="007E6908" w:rsidRPr="007E6908" w:rsidRDefault="007E6908" w:rsidP="007E6908">
      <w:pPr>
        <w:ind w:left="360"/>
      </w:pPr>
    </w:p>
    <w:p w14:paraId="3AD2975A" w14:textId="2C3ED101" w:rsidR="000D7BF3" w:rsidRDefault="007E6908" w:rsidP="007E6908">
      <w:pPr>
        <w:pStyle w:val="Titre2"/>
        <w:numPr>
          <w:ilvl w:val="1"/>
          <w:numId w:val="4"/>
        </w:numPr>
      </w:pPr>
      <w:bookmarkStart w:id="5" w:name="_Toc229338106"/>
      <w:r>
        <w:t>Période d’étude</w:t>
      </w:r>
      <w:bookmarkEnd w:id="5"/>
    </w:p>
    <w:p w14:paraId="7DC290ED" w14:textId="2D905429" w:rsidR="007E6908" w:rsidRDefault="007E6908" w:rsidP="007E6908">
      <w:pPr>
        <w:ind w:left="360"/>
      </w:pPr>
      <w:r w:rsidRPr="007E6908">
        <w:t xml:space="preserve">Toutes les analyses portent sur la période </w:t>
      </w:r>
      <w:r w:rsidRPr="007E6908">
        <w:rPr>
          <w:b/>
          <w:bCs/>
        </w:rPr>
        <w:t>2006-2022</w:t>
      </w:r>
      <w:r w:rsidRPr="007E6908">
        <w:t xml:space="preserve">, sauf la Partie B qui se concentre sur </w:t>
      </w:r>
      <w:r w:rsidRPr="007E6908">
        <w:rPr>
          <w:b/>
          <w:bCs/>
        </w:rPr>
        <w:t>2011-2022</w:t>
      </w:r>
      <w:r w:rsidRPr="007E6908">
        <w:t xml:space="preserve"> en raison de la disponibilité homogène des degrés jours unifiés (DJU).</w:t>
      </w:r>
    </w:p>
    <w:p w14:paraId="727DDBB0" w14:textId="77777777" w:rsidR="00AF3BAB" w:rsidRDefault="00AF3BAB" w:rsidP="007E6908">
      <w:pPr>
        <w:ind w:left="360"/>
      </w:pPr>
    </w:p>
    <w:p w14:paraId="20587F6D" w14:textId="77777777" w:rsidR="000C66D7" w:rsidRDefault="000C66D7" w:rsidP="000C66D7">
      <w:pPr>
        <w:pStyle w:val="Titre1"/>
      </w:pPr>
      <w:bookmarkStart w:id="6" w:name="_Toc229338107"/>
      <w:r>
        <w:t>PARTIE A – La production d’électricité en France (2006-2022)</w:t>
      </w:r>
      <w:bookmarkEnd w:id="6"/>
    </w:p>
    <w:p w14:paraId="7E1D422C" w14:textId="77777777" w:rsidR="000C66D7" w:rsidRDefault="000C66D7" w:rsidP="000C66D7">
      <w:pPr>
        <w:rPr>
          <w:szCs w:val="28"/>
        </w:rPr>
      </w:pPr>
      <w:r>
        <w:rPr>
          <w:szCs w:val="28"/>
        </w:rPr>
        <w:t>Cette partie s’intéresse à la production d’électricité en France entre janvier 2006 et décembre 2022, à partir des données mensuelles publiées par SDES. Quatre sources principales ont été retenues : l’hydraulique, l’éolien, le solaire photovoltaïque et le nucléaire</w:t>
      </w:r>
    </w:p>
    <w:p w14:paraId="4380A06C" w14:textId="77777777" w:rsidR="000C66D7" w:rsidRDefault="000C66D7" w:rsidP="000C66D7">
      <w:pPr>
        <w:rPr>
          <w:szCs w:val="28"/>
        </w:rPr>
      </w:pPr>
      <w:r>
        <w:rPr>
          <w:szCs w:val="28"/>
        </w:rPr>
        <w:t>La problématique étudiée est la suivante : « Comment a évolué le mix de production électrique français au cours des dernières années, et quelle place occupent les énergies renouvelables face au nucléaire ? »</w:t>
      </w:r>
    </w:p>
    <w:p w14:paraId="3897349D" w14:textId="77777777" w:rsidR="000C66D7" w:rsidRDefault="000C66D7" w:rsidP="000C66D7">
      <w:pPr>
        <w:rPr>
          <w:szCs w:val="28"/>
        </w:rPr>
      </w:pPr>
      <w:r>
        <w:rPr>
          <w:szCs w:val="28"/>
        </w:rPr>
        <w:t>Pour y répondre, nous avons réalisé 8 graphiques et calculé 11 indicateurs statistiques pour chaque source.</w:t>
      </w:r>
    </w:p>
    <w:p w14:paraId="1BCA3BA9" w14:textId="77777777" w:rsidR="000C66D7" w:rsidRDefault="000C66D7" w:rsidP="000C66D7">
      <w:pPr>
        <w:rPr>
          <w:szCs w:val="28"/>
        </w:rPr>
      </w:pPr>
    </w:p>
    <w:p w14:paraId="385F86F4" w14:textId="77777777" w:rsidR="000C66D7" w:rsidRDefault="000C66D7" w:rsidP="000C66D7">
      <w:pPr>
        <w:pStyle w:val="Titre2"/>
        <w:numPr>
          <w:ilvl w:val="0"/>
          <w:numId w:val="6"/>
        </w:numPr>
        <w:rPr>
          <w:szCs w:val="36"/>
        </w:rPr>
      </w:pPr>
      <w:bookmarkStart w:id="7" w:name="_Toc229338108"/>
      <w:r>
        <w:rPr>
          <w:szCs w:val="36"/>
        </w:rPr>
        <w:t>Présentation et traitement des données</w:t>
      </w:r>
      <w:bookmarkEnd w:id="7"/>
    </w:p>
    <w:p w14:paraId="43C92033" w14:textId="77777777" w:rsidR="000C66D7" w:rsidRDefault="000C66D7" w:rsidP="000C66D7">
      <w:pPr>
        <w:pStyle w:val="Titre3"/>
        <w:numPr>
          <w:ilvl w:val="1"/>
          <w:numId w:val="6"/>
        </w:numPr>
        <w:ind w:left="1440" w:hanging="360"/>
        <w:rPr>
          <w:color w:val="000000"/>
          <w:szCs w:val="32"/>
        </w:rPr>
      </w:pPr>
      <w:r>
        <w:rPr>
          <w:color w:val="000000"/>
          <w:szCs w:val="32"/>
        </w:rPr>
        <w:t xml:space="preserve"> </w:t>
      </w:r>
      <w:bookmarkStart w:id="8" w:name="_Toc229338109"/>
      <w:r>
        <w:rPr>
          <w:color w:val="000000"/>
          <w:szCs w:val="32"/>
        </w:rPr>
        <w:t>Source et structure</w:t>
      </w:r>
      <w:bookmarkEnd w:id="8"/>
      <w:r>
        <w:rPr>
          <w:color w:val="000000"/>
          <w:szCs w:val="32"/>
        </w:rPr>
        <w:t xml:space="preserve"> </w:t>
      </w:r>
    </w:p>
    <w:p w14:paraId="15E50B0A" w14:textId="77777777" w:rsidR="000C66D7" w:rsidRDefault="000C66D7" w:rsidP="000C66D7">
      <w:pPr>
        <w:pStyle w:val="Paragraphedeliste"/>
        <w:widowControl/>
        <w:numPr>
          <w:ilvl w:val="0"/>
          <w:numId w:val="7"/>
        </w:numPr>
        <w:autoSpaceDE/>
        <w:spacing w:after="160" w:line="254" w:lineRule="auto"/>
        <w:rPr>
          <w:szCs w:val="28"/>
        </w:rPr>
      </w:pPr>
      <w:r>
        <w:rPr>
          <w:szCs w:val="28"/>
        </w:rPr>
        <w:t>Données issues du fichier 4.2-Synthese-Electricite.csv</w:t>
      </w:r>
    </w:p>
    <w:p w14:paraId="0EE52F31" w14:textId="77777777" w:rsidR="000C66D7" w:rsidRDefault="000C66D7" w:rsidP="000C66D7">
      <w:pPr>
        <w:pStyle w:val="Paragraphedeliste"/>
        <w:widowControl/>
        <w:numPr>
          <w:ilvl w:val="0"/>
          <w:numId w:val="7"/>
        </w:numPr>
        <w:autoSpaceDE/>
        <w:spacing w:after="160" w:line="254" w:lineRule="auto"/>
        <w:rPr>
          <w:szCs w:val="28"/>
        </w:rPr>
      </w:pPr>
      <w:r>
        <w:rPr>
          <w:szCs w:val="28"/>
        </w:rPr>
        <w:t>Période couverte : de janvier 2006 à décembre 2022</w:t>
      </w:r>
    </w:p>
    <w:p w14:paraId="095012E4" w14:textId="77777777" w:rsidR="000C66D7" w:rsidRDefault="000C66D7" w:rsidP="000C66D7">
      <w:pPr>
        <w:pStyle w:val="Paragraphedeliste"/>
        <w:widowControl/>
        <w:numPr>
          <w:ilvl w:val="0"/>
          <w:numId w:val="7"/>
        </w:numPr>
        <w:autoSpaceDE/>
        <w:spacing w:after="160" w:line="254" w:lineRule="auto"/>
        <w:rPr>
          <w:szCs w:val="28"/>
        </w:rPr>
      </w:pPr>
      <w:r>
        <w:rPr>
          <w:szCs w:val="28"/>
        </w:rPr>
        <w:t>Fréquence : mensuelle</w:t>
      </w:r>
    </w:p>
    <w:p w14:paraId="5FF16F1F" w14:textId="77777777" w:rsidR="000C66D7" w:rsidRDefault="000C66D7" w:rsidP="000C66D7">
      <w:pPr>
        <w:pStyle w:val="Paragraphedeliste"/>
        <w:widowControl/>
        <w:numPr>
          <w:ilvl w:val="0"/>
          <w:numId w:val="7"/>
        </w:numPr>
        <w:autoSpaceDE/>
        <w:spacing w:after="160" w:line="254" w:lineRule="auto"/>
        <w:rPr>
          <w:szCs w:val="28"/>
        </w:rPr>
      </w:pPr>
      <w:r>
        <w:rPr>
          <w:szCs w:val="28"/>
        </w:rPr>
        <w:t>Nombre d’observations : 204 lignes</w:t>
      </w:r>
    </w:p>
    <w:p w14:paraId="4C40DE3D" w14:textId="77777777" w:rsidR="000C66D7" w:rsidRDefault="000C66D7" w:rsidP="000C66D7">
      <w:pPr>
        <w:pStyle w:val="Paragraphedeliste"/>
        <w:widowControl/>
        <w:numPr>
          <w:ilvl w:val="0"/>
          <w:numId w:val="7"/>
        </w:numPr>
        <w:autoSpaceDE/>
        <w:spacing w:after="160" w:line="254" w:lineRule="auto"/>
        <w:rPr>
          <w:szCs w:val="28"/>
        </w:rPr>
      </w:pPr>
      <w:r>
        <w:rPr>
          <w:szCs w:val="28"/>
        </w:rPr>
        <w:lastRenderedPageBreak/>
        <w:t>Variables retenues : Production hydraulique, éolienne, solaire, nucléaire (GWh)</w:t>
      </w:r>
    </w:p>
    <w:p w14:paraId="6F9AAC2A" w14:textId="77777777" w:rsidR="000C66D7" w:rsidRDefault="000C66D7" w:rsidP="000C66D7">
      <w:pPr>
        <w:pStyle w:val="Titre3"/>
        <w:numPr>
          <w:ilvl w:val="1"/>
          <w:numId w:val="6"/>
        </w:numPr>
        <w:ind w:left="1440" w:hanging="360"/>
        <w:rPr>
          <w:color w:val="000000"/>
          <w:szCs w:val="32"/>
        </w:rPr>
      </w:pPr>
      <w:r>
        <w:rPr>
          <w:color w:val="000000"/>
          <w:szCs w:val="32"/>
        </w:rPr>
        <w:t xml:space="preserve"> </w:t>
      </w:r>
      <w:bookmarkStart w:id="9" w:name="_Toc229338110"/>
      <w:r>
        <w:rPr>
          <w:color w:val="000000"/>
          <w:szCs w:val="32"/>
        </w:rPr>
        <w:t>Traitement effectué</w:t>
      </w:r>
      <w:bookmarkEnd w:id="9"/>
    </w:p>
    <w:p w14:paraId="1BCBB794" w14:textId="77777777" w:rsidR="000C66D7" w:rsidRDefault="000C66D7" w:rsidP="000C66D7">
      <w:pPr>
        <w:pStyle w:val="Paragraphedeliste"/>
        <w:widowControl/>
        <w:numPr>
          <w:ilvl w:val="0"/>
          <w:numId w:val="8"/>
        </w:numPr>
        <w:autoSpaceDE/>
        <w:spacing w:after="160" w:line="254" w:lineRule="auto"/>
      </w:pPr>
      <w:r>
        <w:rPr>
          <w:szCs w:val="28"/>
        </w:rPr>
        <w:t>Conversion du nucléaire : la donnée d’origine est en équivalent primaire (chaleur). Nous l’avons divisée par 3 pour obtenir l’équivalent en électricité produite (rendement de 33%).</w:t>
      </w:r>
    </w:p>
    <w:p w14:paraId="714E6707" w14:textId="77777777" w:rsidR="000C66D7" w:rsidRDefault="000C66D7" w:rsidP="000C66D7">
      <w:pPr>
        <w:pStyle w:val="Paragraphedeliste"/>
        <w:widowControl/>
        <w:numPr>
          <w:ilvl w:val="0"/>
          <w:numId w:val="8"/>
        </w:numPr>
        <w:autoSpaceDE/>
        <w:spacing w:after="160" w:line="254" w:lineRule="auto"/>
      </w:pPr>
      <w:r>
        <w:rPr>
          <w:szCs w:val="28"/>
        </w:rPr>
        <w:t>Ajout des colonnes Année et Mois (extraction depuis Période).</w:t>
      </w:r>
    </w:p>
    <w:p w14:paraId="67D37592" w14:textId="77777777" w:rsidR="000C66D7" w:rsidRDefault="000C66D7" w:rsidP="000C66D7">
      <w:pPr>
        <w:pStyle w:val="Paragraphedeliste"/>
        <w:widowControl/>
        <w:numPr>
          <w:ilvl w:val="0"/>
          <w:numId w:val="8"/>
        </w:numPr>
        <w:autoSpaceDE/>
        <w:spacing w:after="160" w:line="254" w:lineRule="auto"/>
      </w:pPr>
      <w:r>
        <w:rPr>
          <w:szCs w:val="28"/>
        </w:rPr>
        <w:t xml:space="preserve"> Création des colonnes </w:t>
      </w:r>
      <w:proofErr w:type="spellStart"/>
      <w:r>
        <w:rPr>
          <w:szCs w:val="28"/>
        </w:rPr>
        <w:t>Total_EnR</w:t>
      </w:r>
      <w:proofErr w:type="spellEnd"/>
      <w:r>
        <w:rPr>
          <w:szCs w:val="28"/>
        </w:rPr>
        <w:t xml:space="preserve"> (</w:t>
      </w:r>
      <w:proofErr w:type="spellStart"/>
      <w:r>
        <w:rPr>
          <w:szCs w:val="28"/>
        </w:rPr>
        <w:t>hydro+éolien+solaire</w:t>
      </w:r>
      <w:proofErr w:type="spellEnd"/>
      <w:r>
        <w:rPr>
          <w:szCs w:val="28"/>
        </w:rPr>
        <w:t xml:space="preserve">), </w:t>
      </w:r>
      <w:proofErr w:type="spellStart"/>
      <w:r>
        <w:rPr>
          <w:szCs w:val="28"/>
        </w:rPr>
        <w:t>Total_Production</w:t>
      </w:r>
      <w:proofErr w:type="spellEnd"/>
      <w:r>
        <w:rPr>
          <w:szCs w:val="28"/>
        </w:rPr>
        <w:t xml:space="preserve">, </w:t>
      </w:r>
      <w:proofErr w:type="spellStart"/>
      <w:r>
        <w:rPr>
          <w:szCs w:val="28"/>
        </w:rPr>
        <w:t>Part_Nucléaire</w:t>
      </w:r>
      <w:proofErr w:type="spellEnd"/>
      <w:r>
        <w:rPr>
          <w:szCs w:val="28"/>
        </w:rPr>
        <w:t xml:space="preserve">, </w:t>
      </w:r>
      <w:proofErr w:type="spellStart"/>
      <w:r>
        <w:rPr>
          <w:szCs w:val="28"/>
        </w:rPr>
        <w:t>Part_EnR</w:t>
      </w:r>
      <w:proofErr w:type="spellEnd"/>
      <w:r>
        <w:rPr>
          <w:szCs w:val="28"/>
        </w:rPr>
        <w:t xml:space="preserve">. </w:t>
      </w:r>
    </w:p>
    <w:p w14:paraId="36524FF6" w14:textId="77777777" w:rsidR="000C66D7" w:rsidRDefault="000C66D7" w:rsidP="000C66D7">
      <w:pPr>
        <w:ind w:left="360"/>
      </w:pPr>
    </w:p>
    <w:p w14:paraId="0ED255C1" w14:textId="77777777" w:rsidR="000C66D7" w:rsidRDefault="000C66D7" w:rsidP="000C66D7">
      <w:pPr>
        <w:ind w:left="360"/>
        <w:rPr>
          <w:szCs w:val="28"/>
        </w:rPr>
      </w:pPr>
    </w:p>
    <w:p w14:paraId="3630883C" w14:textId="77777777" w:rsidR="000C66D7" w:rsidRDefault="000C66D7" w:rsidP="000C66D7">
      <w:pPr>
        <w:rPr>
          <w:szCs w:val="28"/>
        </w:rPr>
      </w:pPr>
    </w:p>
    <w:p w14:paraId="7EE72555" w14:textId="77777777" w:rsidR="000C66D7" w:rsidRDefault="000C66D7" w:rsidP="000C66D7">
      <w:pPr>
        <w:pStyle w:val="Titre2"/>
        <w:numPr>
          <w:ilvl w:val="0"/>
          <w:numId w:val="6"/>
        </w:numPr>
        <w:rPr>
          <w:szCs w:val="36"/>
        </w:rPr>
      </w:pPr>
      <w:bookmarkStart w:id="10" w:name="_Toc229338111"/>
      <w:r>
        <w:rPr>
          <w:szCs w:val="36"/>
        </w:rPr>
        <w:t>Analyse statistique à une variable</w:t>
      </w:r>
      <w:bookmarkEnd w:id="10"/>
    </w:p>
    <w:p w14:paraId="04902F49" w14:textId="77777777" w:rsidR="000C66D7" w:rsidRDefault="000C66D7" w:rsidP="000C66D7">
      <w:pPr>
        <w:pStyle w:val="Titre3"/>
        <w:numPr>
          <w:ilvl w:val="1"/>
          <w:numId w:val="6"/>
        </w:numPr>
        <w:ind w:left="1440" w:hanging="360"/>
        <w:rPr>
          <w:color w:val="000000"/>
          <w:szCs w:val="32"/>
        </w:rPr>
      </w:pPr>
      <w:r>
        <w:rPr>
          <w:color w:val="000000"/>
          <w:szCs w:val="32"/>
        </w:rPr>
        <w:t xml:space="preserve"> </w:t>
      </w:r>
      <w:bookmarkStart w:id="11" w:name="_Toc229338112"/>
      <w:r>
        <w:rPr>
          <w:color w:val="000000"/>
          <w:szCs w:val="32"/>
        </w:rPr>
        <w:t>Indicateurs par source</w:t>
      </w:r>
      <w:bookmarkEnd w:id="11"/>
    </w:p>
    <w:p w14:paraId="2A72AB4F" w14:textId="77777777" w:rsidR="000C66D7" w:rsidRDefault="000C66D7" w:rsidP="000C66D7">
      <w:pPr>
        <w:ind w:left="360"/>
      </w:pPr>
      <w:r>
        <w:rPr>
          <w:noProof/>
        </w:rPr>
        <w:drawing>
          <wp:inline distT="0" distB="0" distL="0" distR="0" wp14:anchorId="1A039D67" wp14:editId="17BA3350">
            <wp:extent cx="4976292" cy="2560539"/>
            <wp:effectExtent l="0" t="0" r="0" b="0"/>
            <wp:docPr id="120277199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76292" cy="2560539"/>
                    </a:xfrm>
                    <a:prstGeom prst="rect">
                      <a:avLst/>
                    </a:prstGeom>
                    <a:noFill/>
                    <a:ln>
                      <a:noFill/>
                      <a:prstDash/>
                    </a:ln>
                  </pic:spPr>
                </pic:pic>
              </a:graphicData>
            </a:graphic>
          </wp:inline>
        </w:drawing>
      </w:r>
    </w:p>
    <w:p w14:paraId="0C22BA7D" w14:textId="77777777" w:rsidR="000C66D7" w:rsidRDefault="000C66D7" w:rsidP="000C66D7">
      <w:pPr>
        <w:ind w:left="360"/>
      </w:pPr>
    </w:p>
    <w:p w14:paraId="2B58F726" w14:textId="77777777" w:rsidR="000C66D7" w:rsidRDefault="000C66D7" w:rsidP="000C66D7">
      <w:pPr>
        <w:rPr>
          <w:szCs w:val="28"/>
        </w:rPr>
      </w:pPr>
      <w:r>
        <w:rPr>
          <w:szCs w:val="28"/>
        </w:rPr>
        <w:t>Le nucléaire présente la moyenne mensuelle la plus élevée (~35000 GWh),</w:t>
      </w:r>
    </w:p>
    <w:p w14:paraId="0F0E26F4" w14:textId="77777777" w:rsidR="000C66D7" w:rsidRDefault="000C66D7" w:rsidP="000C66D7">
      <w:pPr>
        <w:rPr>
          <w:szCs w:val="28"/>
        </w:rPr>
      </w:pPr>
      <w:r>
        <w:rPr>
          <w:szCs w:val="28"/>
        </w:rPr>
        <w:t>Confirmant son rôle dominant. L’hydraulique arrive en deuxième position (~5300 GWh) avec toutefois une grande dispersion (écart-type = 1366,03) liée à la variabilité saisonnière et hydrologique. L’éolien et le solaire restent plus modestes mais affichent les coefficients de variation les plus élevés, traduisant leur dépendance aux conditions météorologiques.</w:t>
      </w:r>
    </w:p>
    <w:p w14:paraId="2CF91052" w14:textId="77777777" w:rsidR="000C66D7" w:rsidRDefault="000C66D7" w:rsidP="000C66D7">
      <w:pPr>
        <w:pStyle w:val="Titre3"/>
        <w:numPr>
          <w:ilvl w:val="1"/>
          <w:numId w:val="6"/>
        </w:numPr>
        <w:ind w:left="420" w:hanging="360"/>
        <w:rPr>
          <w:color w:val="000000"/>
          <w:szCs w:val="32"/>
        </w:rPr>
      </w:pPr>
      <w:r>
        <w:rPr>
          <w:color w:val="000000"/>
          <w:szCs w:val="32"/>
        </w:rPr>
        <w:t xml:space="preserve"> </w:t>
      </w:r>
      <w:bookmarkStart w:id="12" w:name="_Toc229338113"/>
      <w:r>
        <w:rPr>
          <w:color w:val="000000"/>
          <w:szCs w:val="32"/>
        </w:rPr>
        <w:t>Distribution saisonnière et annuelle des productions</w:t>
      </w:r>
      <w:bookmarkEnd w:id="12"/>
    </w:p>
    <w:p w14:paraId="69F3DDAC" w14:textId="77777777" w:rsidR="000C66D7" w:rsidRDefault="000C66D7" w:rsidP="000C66D7">
      <w:pPr>
        <w:rPr>
          <w:szCs w:val="28"/>
        </w:rPr>
      </w:pPr>
      <w:r>
        <w:rPr>
          <w:szCs w:val="28"/>
        </w:rPr>
        <w:t>Pour étudier la répartition de la production électrique, nous avons construit un tableau croisé dynamique pour chacune des quatre sources, croisant les mois (lignes) et les années (colonnes). Cette double entrée permet d’identifier à la fois la saisonnalité propre à chaque source et son évolution dans le temps.</w:t>
      </w:r>
    </w:p>
    <w:p w14:paraId="4B8BFF0D" w14:textId="77777777" w:rsidR="000C66D7" w:rsidRDefault="000C66D7" w:rsidP="000C66D7">
      <w:pPr>
        <w:rPr>
          <w:szCs w:val="28"/>
        </w:rPr>
      </w:pPr>
    </w:p>
    <w:p w14:paraId="54C48152" w14:textId="77777777" w:rsidR="000C66D7" w:rsidRDefault="000C66D7" w:rsidP="000C66D7">
      <w:pPr>
        <w:rPr>
          <w:szCs w:val="28"/>
        </w:rPr>
      </w:pPr>
    </w:p>
    <w:p w14:paraId="11A1FA56" w14:textId="77777777" w:rsidR="000C66D7" w:rsidRDefault="000C66D7" w:rsidP="000C66D7">
      <w:pPr>
        <w:rPr>
          <w:szCs w:val="28"/>
        </w:rPr>
      </w:pPr>
    </w:p>
    <w:p w14:paraId="0E0D7D07" w14:textId="77777777" w:rsidR="000C66D7" w:rsidRDefault="000C66D7" w:rsidP="000C66D7">
      <w:pPr>
        <w:rPr>
          <w:szCs w:val="28"/>
        </w:rPr>
      </w:pPr>
    </w:p>
    <w:p w14:paraId="36822978" w14:textId="77777777" w:rsidR="000C66D7" w:rsidRDefault="000C66D7" w:rsidP="000C66D7">
      <w:pPr>
        <w:rPr>
          <w:szCs w:val="28"/>
        </w:rPr>
      </w:pPr>
    </w:p>
    <w:p w14:paraId="3A7DB5B7" w14:textId="77777777" w:rsidR="000C66D7" w:rsidRDefault="000C66D7" w:rsidP="000C66D7">
      <w:pPr>
        <w:rPr>
          <w:szCs w:val="28"/>
        </w:rPr>
      </w:pPr>
    </w:p>
    <w:p w14:paraId="03B0EE26" w14:textId="77777777" w:rsidR="000C66D7" w:rsidRDefault="000C66D7" w:rsidP="000C66D7">
      <w:pPr>
        <w:pStyle w:val="Titre4"/>
        <w:numPr>
          <w:ilvl w:val="2"/>
          <w:numId w:val="6"/>
        </w:numPr>
        <w:ind w:left="2160" w:hanging="360"/>
        <w:rPr>
          <w:color w:val="000000"/>
          <w:szCs w:val="32"/>
        </w:rPr>
      </w:pPr>
      <w:r>
        <w:rPr>
          <w:color w:val="000000"/>
          <w:szCs w:val="32"/>
        </w:rPr>
        <w:t>Production nucléaire</w:t>
      </w:r>
    </w:p>
    <w:p w14:paraId="35ACD1EA" w14:textId="77777777" w:rsidR="000C66D7" w:rsidRDefault="000C66D7" w:rsidP="000C66D7"/>
    <w:p w14:paraId="41FDDAFE" w14:textId="77777777" w:rsidR="000C66D7" w:rsidRDefault="000C66D7" w:rsidP="000C66D7">
      <w:pPr>
        <w:ind w:firstLine="360"/>
        <w:rPr>
          <w:b/>
          <w:bCs/>
          <w:szCs w:val="28"/>
        </w:rPr>
      </w:pPr>
      <w:r>
        <w:rPr>
          <w:b/>
          <w:bCs/>
          <w:szCs w:val="28"/>
        </w:rPr>
        <w:t>Figure 1 – TCD de la production nucléaire mensuelle moyenne (2006-2022, en GWh)</w:t>
      </w:r>
    </w:p>
    <w:p w14:paraId="42C72C13" w14:textId="77777777" w:rsidR="000C66D7" w:rsidRDefault="000C66D7" w:rsidP="000C66D7">
      <w:pPr>
        <w:pStyle w:val="Paragraphedeliste"/>
        <w:ind w:left="360"/>
      </w:pPr>
      <w:r>
        <w:rPr>
          <w:noProof/>
        </w:rPr>
        <w:drawing>
          <wp:inline distT="0" distB="0" distL="0" distR="0" wp14:anchorId="5D4F550F" wp14:editId="477F07DA">
            <wp:extent cx="5760720" cy="1010924"/>
            <wp:effectExtent l="0" t="0" r="0" b="0"/>
            <wp:docPr id="1747987332"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1010924"/>
                    </a:xfrm>
                    <a:prstGeom prst="rect">
                      <a:avLst/>
                    </a:prstGeom>
                    <a:noFill/>
                    <a:ln>
                      <a:noFill/>
                      <a:prstDash/>
                    </a:ln>
                  </pic:spPr>
                </pic:pic>
              </a:graphicData>
            </a:graphic>
          </wp:inline>
        </w:drawing>
      </w:r>
    </w:p>
    <w:p w14:paraId="6DF29AA8" w14:textId="77777777" w:rsidR="000C66D7" w:rsidRDefault="000C66D7" w:rsidP="000C66D7">
      <w:pPr>
        <w:rPr>
          <w:szCs w:val="28"/>
        </w:rPr>
      </w:pPr>
    </w:p>
    <w:p w14:paraId="0F24235C" w14:textId="77777777" w:rsidR="000C66D7" w:rsidRDefault="000C66D7" w:rsidP="000C66D7">
      <w:pPr>
        <w:rPr>
          <w:szCs w:val="28"/>
        </w:rPr>
      </w:pPr>
      <w:r>
        <w:rPr>
          <w:szCs w:val="28"/>
        </w:rPr>
        <w:t>Ce tableau met en évidence plusieurs phénomènes :</w:t>
      </w:r>
    </w:p>
    <w:p w14:paraId="786D2B81" w14:textId="77777777" w:rsidR="000C66D7" w:rsidRDefault="000C66D7" w:rsidP="000C66D7">
      <w:pPr>
        <w:pStyle w:val="Paragraphedeliste"/>
        <w:widowControl/>
        <w:numPr>
          <w:ilvl w:val="0"/>
          <w:numId w:val="9"/>
        </w:numPr>
        <w:autoSpaceDE/>
        <w:spacing w:after="160" w:line="254" w:lineRule="auto"/>
      </w:pPr>
      <w:r>
        <w:rPr>
          <w:b/>
          <w:bCs/>
          <w:szCs w:val="28"/>
        </w:rPr>
        <w:t>Saisonnalité marquée</w:t>
      </w:r>
      <w:r>
        <w:rPr>
          <w:szCs w:val="28"/>
        </w:rPr>
        <w:t xml:space="preserve"> : la production est plus forte en hiver (janvier : 129 908 GWh en moyenne en 2021, décembre : 120 233 GWh) et plus faible en été (août : ~92000 GWh), période durant laquelle les centrales sont mises à l’arrêt pour maintenance. </w:t>
      </w:r>
    </w:p>
    <w:p w14:paraId="0F2ADEB7" w14:textId="77777777" w:rsidR="000C66D7" w:rsidRDefault="000C66D7" w:rsidP="000C66D7">
      <w:pPr>
        <w:pStyle w:val="Paragraphedeliste"/>
        <w:widowControl/>
        <w:numPr>
          <w:ilvl w:val="0"/>
          <w:numId w:val="9"/>
        </w:numPr>
        <w:autoSpaceDE/>
        <w:spacing w:after="160" w:line="254" w:lineRule="auto"/>
      </w:pPr>
      <w:r>
        <w:rPr>
          <w:b/>
          <w:bCs/>
          <w:szCs w:val="28"/>
        </w:rPr>
        <w:t>Tendance annuelle décroissante</w:t>
      </w:r>
      <w:r>
        <w:rPr>
          <w:szCs w:val="28"/>
        </w:rPr>
        <w:t> :  le total général passe de 113 700 GWh en moyenne en 2006 à 74 440 GWh en 2022, soit une baisse de 35%.</w:t>
      </w:r>
    </w:p>
    <w:p w14:paraId="7AAEC6DA" w14:textId="77777777" w:rsidR="000C66D7" w:rsidRDefault="000C66D7" w:rsidP="000C66D7">
      <w:pPr>
        <w:pStyle w:val="Paragraphedeliste"/>
        <w:widowControl/>
        <w:numPr>
          <w:ilvl w:val="0"/>
          <w:numId w:val="9"/>
        </w:numPr>
        <w:autoSpaceDE/>
        <w:spacing w:after="160" w:line="254" w:lineRule="auto"/>
      </w:pPr>
      <w:r>
        <w:rPr>
          <w:b/>
          <w:bCs/>
          <w:szCs w:val="28"/>
        </w:rPr>
        <w:t>Année 2022</w:t>
      </w:r>
      <w:r>
        <w:rPr>
          <w:szCs w:val="28"/>
        </w:rPr>
        <w:t xml:space="preserve"> : on observe une chute marquée (74 440 GWh) correspondant à la crise du parc nucléaire français (arrêts pour corrosion sous contrainte, maintenance reportée post-COVID).</w:t>
      </w:r>
    </w:p>
    <w:p w14:paraId="1E0F9820" w14:textId="77777777" w:rsidR="000C66D7" w:rsidRDefault="000C66D7" w:rsidP="000C66D7">
      <w:pPr>
        <w:pStyle w:val="Paragraphedeliste"/>
        <w:widowControl/>
        <w:numPr>
          <w:ilvl w:val="0"/>
          <w:numId w:val="9"/>
        </w:numPr>
        <w:autoSpaceDE/>
        <w:spacing w:after="160" w:line="254" w:lineRule="auto"/>
      </w:pPr>
      <w:r>
        <w:rPr>
          <w:b/>
          <w:bCs/>
          <w:szCs w:val="28"/>
        </w:rPr>
        <w:t>Année 2020</w:t>
      </w:r>
      <w:r>
        <w:rPr>
          <w:szCs w:val="28"/>
        </w:rPr>
        <w:t> : baisse visible en avril-mai (70000-90000 GWh) liée au confinement et à la baisse de la demande.</w:t>
      </w:r>
    </w:p>
    <w:p w14:paraId="574BD213" w14:textId="77777777" w:rsidR="000C66D7" w:rsidRDefault="000C66D7" w:rsidP="000C66D7">
      <w:pPr>
        <w:pStyle w:val="Titre4"/>
        <w:numPr>
          <w:ilvl w:val="2"/>
          <w:numId w:val="6"/>
        </w:numPr>
        <w:ind w:left="2160" w:hanging="360"/>
        <w:rPr>
          <w:color w:val="000000"/>
          <w:szCs w:val="32"/>
        </w:rPr>
      </w:pPr>
      <w:r>
        <w:rPr>
          <w:color w:val="000000"/>
          <w:szCs w:val="32"/>
        </w:rPr>
        <w:t>Production hydraulique</w:t>
      </w:r>
    </w:p>
    <w:p w14:paraId="12C70390" w14:textId="77777777" w:rsidR="000C66D7" w:rsidRDefault="000C66D7" w:rsidP="000C66D7"/>
    <w:p w14:paraId="77E06AEC" w14:textId="77777777" w:rsidR="000C66D7" w:rsidRDefault="000C66D7" w:rsidP="000C66D7">
      <w:pPr>
        <w:ind w:firstLine="360"/>
        <w:rPr>
          <w:b/>
          <w:bCs/>
          <w:szCs w:val="28"/>
        </w:rPr>
      </w:pPr>
      <w:r>
        <w:rPr>
          <w:b/>
          <w:bCs/>
          <w:szCs w:val="28"/>
        </w:rPr>
        <w:t>Figure 2 – TCD de la production hydraulique mensuelle moyenne (2006-2022, en GWh)</w:t>
      </w:r>
    </w:p>
    <w:p w14:paraId="7772E81A" w14:textId="77777777" w:rsidR="000C66D7" w:rsidRDefault="000C66D7" w:rsidP="000C66D7">
      <w:pPr>
        <w:pStyle w:val="Paragraphedeliste"/>
        <w:ind w:left="360"/>
      </w:pPr>
      <w:r>
        <w:rPr>
          <w:noProof/>
        </w:rPr>
        <w:drawing>
          <wp:inline distT="0" distB="0" distL="0" distR="0" wp14:anchorId="6F5D0325" wp14:editId="5E4E912F">
            <wp:extent cx="5760720" cy="1031242"/>
            <wp:effectExtent l="0" t="0" r="0" b="0"/>
            <wp:docPr id="1012103820"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1031242"/>
                    </a:xfrm>
                    <a:prstGeom prst="rect">
                      <a:avLst/>
                    </a:prstGeom>
                    <a:noFill/>
                    <a:ln>
                      <a:noFill/>
                      <a:prstDash/>
                    </a:ln>
                  </pic:spPr>
                </pic:pic>
              </a:graphicData>
            </a:graphic>
          </wp:inline>
        </w:drawing>
      </w:r>
    </w:p>
    <w:p w14:paraId="0E3F1DC4" w14:textId="77777777" w:rsidR="000C66D7" w:rsidRDefault="000C66D7" w:rsidP="000C66D7">
      <w:pPr>
        <w:ind w:left="360"/>
        <w:rPr>
          <w:szCs w:val="28"/>
        </w:rPr>
      </w:pPr>
      <w:r>
        <w:rPr>
          <w:szCs w:val="28"/>
        </w:rPr>
        <w:t>Ce tableau met en évidence trois caractéristiques majeures de la production hydraulique française :</w:t>
      </w:r>
    </w:p>
    <w:p w14:paraId="2665A678" w14:textId="77777777" w:rsidR="000C66D7" w:rsidRDefault="000C66D7" w:rsidP="000C66D7">
      <w:pPr>
        <w:pStyle w:val="Paragraphedeliste"/>
        <w:widowControl/>
        <w:numPr>
          <w:ilvl w:val="0"/>
          <w:numId w:val="10"/>
        </w:numPr>
        <w:autoSpaceDE/>
        <w:spacing w:after="160" w:line="254" w:lineRule="auto"/>
      </w:pPr>
      <w:r>
        <w:rPr>
          <w:b/>
          <w:bCs/>
          <w:szCs w:val="28"/>
        </w:rPr>
        <w:t>Une saisonnalité marquée par le ressource en eau</w:t>
      </w:r>
      <w:r>
        <w:rPr>
          <w:szCs w:val="28"/>
        </w:rPr>
        <w:t> : la production atteint son maximum au printemps, notamment en avril-mai (jusqu’à 7 938 GWh en mai 2017), période correspondant à la fonte des neiges dans les massifs montagneux et aux pluies printanières. À l’inverse, on observe un creux en septembre-octobre (souvent inférieur à 3500 GWh), période de basses eaux de fin été.</w:t>
      </w:r>
    </w:p>
    <w:p w14:paraId="24B02143" w14:textId="77777777" w:rsidR="000C66D7" w:rsidRDefault="000C66D7" w:rsidP="000C66D7">
      <w:pPr>
        <w:pStyle w:val="Paragraphedeliste"/>
        <w:widowControl/>
        <w:numPr>
          <w:ilvl w:val="0"/>
          <w:numId w:val="10"/>
        </w:numPr>
        <w:autoSpaceDE/>
        <w:spacing w:after="160" w:line="254" w:lineRule="auto"/>
      </w:pPr>
      <w:r>
        <w:rPr>
          <w:b/>
          <w:bCs/>
          <w:szCs w:val="28"/>
        </w:rPr>
        <w:t>Une variabilité interannuelle importante </w:t>
      </w:r>
      <w:r>
        <w:rPr>
          <w:szCs w:val="28"/>
        </w:rPr>
        <w:t>:</w:t>
      </w:r>
      <w:r>
        <w:rPr>
          <w:b/>
          <w:bCs/>
          <w:szCs w:val="28"/>
        </w:rPr>
        <w:t xml:space="preserve"> </w:t>
      </w:r>
      <w:r>
        <w:rPr>
          <w:szCs w:val="28"/>
        </w:rPr>
        <w:t>contrairement au nucléaire, le total général varie fortement d’une année à l’autre (de 4257 GWh en 2022 à 6280 GWh en 2013). Cette variabilité est directement liée aux conditions hydrologiques (pluviométrie, enneigement). Les années 2011, 2017 et 2022 (sécheresse historique) apparaissent particulièrement faibles.</w:t>
      </w:r>
    </w:p>
    <w:p w14:paraId="13F8CEC0" w14:textId="77777777" w:rsidR="000C66D7" w:rsidRDefault="000C66D7" w:rsidP="000C66D7">
      <w:pPr>
        <w:pStyle w:val="Paragraphedeliste"/>
        <w:widowControl/>
        <w:numPr>
          <w:ilvl w:val="0"/>
          <w:numId w:val="10"/>
        </w:numPr>
        <w:autoSpaceDE/>
        <w:spacing w:after="160" w:line="254" w:lineRule="auto"/>
      </w:pPr>
      <w:r>
        <w:rPr>
          <w:b/>
          <w:bCs/>
          <w:szCs w:val="28"/>
        </w:rPr>
        <w:t>Pas de tendance claire à la hausse ou à la baisse </w:t>
      </w:r>
      <w:r>
        <w:rPr>
          <w:szCs w:val="28"/>
        </w:rPr>
        <w:t>: la moyenne sur 17 ans reste relativement stable autour de 5 285 GWh, ce qui explique par le fait que le parc hydraulique français est mature (peu nouveaux barrages</w:t>
      </w:r>
      <w:r>
        <w:rPr>
          <w:b/>
          <w:bCs/>
          <w:szCs w:val="28"/>
        </w:rPr>
        <w:t xml:space="preserve"> </w:t>
      </w:r>
      <w:r>
        <w:rPr>
          <w:szCs w:val="28"/>
        </w:rPr>
        <w:t>construits sur la période).</w:t>
      </w:r>
    </w:p>
    <w:p w14:paraId="4B205332" w14:textId="77777777" w:rsidR="000C66D7" w:rsidRDefault="000C66D7" w:rsidP="000C66D7">
      <w:pPr>
        <w:ind w:left="720"/>
        <w:rPr>
          <w:szCs w:val="28"/>
        </w:rPr>
      </w:pPr>
      <w:r>
        <w:rPr>
          <w:szCs w:val="28"/>
        </w:rPr>
        <w:t>Cette source apparaît donc comme une énergie renouvelable historique et stable structurellement, mais fortement dépendante du climat à court terme.</w:t>
      </w:r>
    </w:p>
    <w:p w14:paraId="32248EE4" w14:textId="77777777" w:rsidR="000C66D7" w:rsidRDefault="000C66D7" w:rsidP="000C66D7">
      <w:pPr>
        <w:ind w:left="1416"/>
        <w:rPr>
          <w:color w:val="000000"/>
          <w:sz w:val="32"/>
          <w:szCs w:val="32"/>
        </w:rPr>
      </w:pPr>
    </w:p>
    <w:p w14:paraId="3F8A7F9E" w14:textId="77777777" w:rsidR="000C66D7" w:rsidRDefault="000C66D7" w:rsidP="000C66D7">
      <w:pPr>
        <w:pStyle w:val="Titre4"/>
        <w:numPr>
          <w:ilvl w:val="2"/>
          <w:numId w:val="6"/>
        </w:numPr>
        <w:ind w:left="2160" w:hanging="360"/>
        <w:rPr>
          <w:color w:val="000000"/>
          <w:szCs w:val="32"/>
        </w:rPr>
      </w:pPr>
      <w:r>
        <w:rPr>
          <w:color w:val="000000"/>
          <w:szCs w:val="32"/>
        </w:rPr>
        <w:t>Production éolienne</w:t>
      </w:r>
    </w:p>
    <w:p w14:paraId="3F4EB27B" w14:textId="77777777" w:rsidR="000C66D7" w:rsidRPr="00703C5C" w:rsidRDefault="000C66D7" w:rsidP="000C66D7">
      <w:pPr>
        <w:ind w:left="360"/>
        <w:rPr>
          <w:b/>
          <w:bCs/>
          <w:szCs w:val="28"/>
        </w:rPr>
      </w:pPr>
      <w:r w:rsidRPr="00703C5C">
        <w:rPr>
          <w:b/>
          <w:bCs/>
          <w:szCs w:val="28"/>
        </w:rPr>
        <w:t>Figure 3 – TCD de la production éolienne mensuelle moyenne (2006-2022, en GWh)</w:t>
      </w:r>
    </w:p>
    <w:p w14:paraId="4921E99B" w14:textId="77777777" w:rsidR="000C66D7" w:rsidRDefault="000C66D7" w:rsidP="000C66D7">
      <w:pPr>
        <w:ind w:left="360"/>
      </w:pPr>
      <w:r>
        <w:rPr>
          <w:noProof/>
          <w:szCs w:val="28"/>
        </w:rPr>
        <w:drawing>
          <wp:inline distT="0" distB="0" distL="0" distR="0" wp14:anchorId="0724A3E6" wp14:editId="23B070A5">
            <wp:extent cx="5760720" cy="1010283"/>
            <wp:effectExtent l="0" t="0" r="0" b="0"/>
            <wp:docPr id="893452053"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1010283"/>
                    </a:xfrm>
                    <a:prstGeom prst="rect">
                      <a:avLst/>
                    </a:prstGeom>
                    <a:noFill/>
                    <a:ln>
                      <a:noFill/>
                      <a:prstDash/>
                    </a:ln>
                  </pic:spPr>
                </pic:pic>
              </a:graphicData>
            </a:graphic>
          </wp:inline>
        </w:drawing>
      </w:r>
    </w:p>
    <w:p w14:paraId="350BBFBE" w14:textId="77777777" w:rsidR="000C66D7" w:rsidRDefault="000C66D7" w:rsidP="000C66D7">
      <w:pPr>
        <w:ind w:left="360"/>
        <w:rPr>
          <w:szCs w:val="28"/>
        </w:rPr>
      </w:pPr>
      <w:r>
        <w:rPr>
          <w:szCs w:val="28"/>
        </w:rPr>
        <w:t>Ce tableau fait apparaître les trois caractéristiques majeures de la production éolienne française :</w:t>
      </w:r>
    </w:p>
    <w:p w14:paraId="1EC7AD19" w14:textId="77777777" w:rsidR="000C66D7" w:rsidRDefault="000C66D7" w:rsidP="000C66D7">
      <w:pPr>
        <w:pStyle w:val="Paragraphedeliste"/>
        <w:widowControl/>
        <w:numPr>
          <w:ilvl w:val="0"/>
          <w:numId w:val="11"/>
        </w:numPr>
        <w:autoSpaceDE/>
        <w:spacing w:after="160" w:line="254" w:lineRule="auto"/>
      </w:pPr>
      <w:r>
        <w:rPr>
          <w:b/>
          <w:bCs/>
          <w:szCs w:val="28"/>
        </w:rPr>
        <w:t>Une croissance sur la période </w:t>
      </w:r>
      <w:r>
        <w:rPr>
          <w:szCs w:val="28"/>
        </w:rPr>
        <w:t>: le total général passe de 180 GWh en 2006 à 3169 GWh en 2021 (avec un pic à 3331 GWh en 2020), soit une multiplication par près de 17 en 15 ans. Cette explosion s’explique par le développement massif du parc éolien français, encouragé par les politiques de transition énergétique. La légère baisse en 2022 (1597 GWh sur le total général) s’explique probablement par une année peu venteuse plus que par un ralentissement du parc</w:t>
      </w:r>
    </w:p>
    <w:p w14:paraId="6D486016" w14:textId="77777777" w:rsidR="000C66D7" w:rsidRDefault="000C66D7" w:rsidP="000C66D7">
      <w:pPr>
        <w:pStyle w:val="Paragraphedeliste"/>
        <w:widowControl/>
        <w:numPr>
          <w:ilvl w:val="0"/>
          <w:numId w:val="11"/>
        </w:numPr>
        <w:autoSpaceDE/>
        <w:spacing w:after="160" w:line="254" w:lineRule="auto"/>
      </w:pPr>
      <w:r>
        <w:rPr>
          <w:b/>
          <w:bCs/>
          <w:szCs w:val="28"/>
        </w:rPr>
        <w:t>Une saisonnalité hivernal très marqué </w:t>
      </w:r>
      <w:r>
        <w:rPr>
          <w:szCs w:val="28"/>
        </w:rPr>
        <w:t xml:space="preserve">: la production est maximale en hiver, avec des valeurs souvent supérieures à 3000GWh sur les années récentes (ex : 5907 GWh en février 2020, 4715 GWh en décembre 2019). À l’inverse, en été </w:t>
      </w:r>
      <w:proofErr w:type="spellStart"/>
      <w:r>
        <w:rPr>
          <w:szCs w:val="28"/>
        </w:rPr>
        <w:t>constitue</w:t>
      </w:r>
      <w:proofErr w:type="spellEnd"/>
      <w:r>
        <w:rPr>
          <w:szCs w:val="28"/>
        </w:rPr>
        <w:t xml:space="preserve"> un creux net avec des valeurs souvent deux à trois fois plus faible. Cette saisonnalité est cohérente avec le régime des vents en France, plus forts en saison froide.</w:t>
      </w:r>
    </w:p>
    <w:p w14:paraId="0C9B1B30" w14:textId="77777777" w:rsidR="000C66D7" w:rsidRDefault="000C66D7" w:rsidP="000C66D7">
      <w:pPr>
        <w:pStyle w:val="Paragraphedeliste"/>
        <w:widowControl/>
        <w:numPr>
          <w:ilvl w:val="0"/>
          <w:numId w:val="11"/>
        </w:numPr>
        <w:autoSpaceDE/>
        <w:spacing w:after="160" w:line="254" w:lineRule="auto"/>
      </w:pPr>
      <w:r>
        <w:rPr>
          <w:b/>
          <w:bCs/>
          <w:szCs w:val="28"/>
        </w:rPr>
        <w:t>Une complémentarité avec le solaire </w:t>
      </w:r>
      <w:r>
        <w:rPr>
          <w:szCs w:val="28"/>
        </w:rPr>
        <w:t>: l’éolien produit beaucoup en hiver, quant à la demande est forte (chauffage) et quand le solaire et à son minimum. Cette complémentarité est un ajout majeur pour la stabilité du mix renouvelable.</w:t>
      </w:r>
    </w:p>
    <w:p w14:paraId="356EC932" w14:textId="77777777" w:rsidR="000C66D7" w:rsidRDefault="000C66D7" w:rsidP="000C66D7">
      <w:pPr>
        <w:ind w:left="720"/>
        <w:rPr>
          <w:szCs w:val="28"/>
        </w:rPr>
      </w:pPr>
      <w:r>
        <w:rPr>
          <w:szCs w:val="28"/>
        </w:rPr>
        <w:t>L’éolien apparaît donc comme la source dont la dynamique de croissance est la plus forte sur la période étudiée, tout en présentant un forte dépendance aux conditions météorologique d’une année à l’autre.</w:t>
      </w:r>
    </w:p>
    <w:p w14:paraId="762944F3" w14:textId="77777777" w:rsidR="000C66D7" w:rsidRDefault="000C66D7" w:rsidP="000C66D7">
      <w:pPr>
        <w:ind w:left="720"/>
        <w:rPr>
          <w:szCs w:val="28"/>
        </w:rPr>
      </w:pPr>
    </w:p>
    <w:p w14:paraId="28470A8D" w14:textId="77777777" w:rsidR="000C66D7" w:rsidRDefault="000C66D7" w:rsidP="000C66D7">
      <w:pPr>
        <w:pStyle w:val="Titre4"/>
        <w:numPr>
          <w:ilvl w:val="2"/>
          <w:numId w:val="6"/>
        </w:numPr>
        <w:ind w:left="2160" w:hanging="360"/>
        <w:rPr>
          <w:color w:val="000000"/>
          <w:szCs w:val="32"/>
        </w:rPr>
      </w:pPr>
      <w:r>
        <w:rPr>
          <w:color w:val="000000"/>
          <w:szCs w:val="32"/>
        </w:rPr>
        <w:t>Production solaire</w:t>
      </w:r>
    </w:p>
    <w:p w14:paraId="486C88D5" w14:textId="77777777" w:rsidR="000C66D7" w:rsidRPr="003508CD" w:rsidRDefault="000C66D7" w:rsidP="000C66D7">
      <w:pPr>
        <w:ind w:left="360"/>
        <w:rPr>
          <w:b/>
          <w:bCs/>
          <w:szCs w:val="28"/>
        </w:rPr>
      </w:pPr>
      <w:r w:rsidRPr="003508CD">
        <w:rPr>
          <w:b/>
          <w:bCs/>
          <w:szCs w:val="28"/>
        </w:rPr>
        <w:t>Figure 4 – TCD de la production solaire mensuelle moyenne (2011-2022, en GWh)</w:t>
      </w:r>
    </w:p>
    <w:p w14:paraId="06CA2368" w14:textId="77777777" w:rsidR="000C66D7" w:rsidRDefault="000C66D7" w:rsidP="000C66D7">
      <w:pPr>
        <w:ind w:left="360"/>
      </w:pPr>
      <w:r>
        <w:rPr>
          <w:noProof/>
          <w:szCs w:val="28"/>
        </w:rPr>
        <w:drawing>
          <wp:inline distT="0" distB="0" distL="0" distR="0" wp14:anchorId="42DE255C" wp14:editId="5F4C15D5">
            <wp:extent cx="5760720" cy="1256669"/>
            <wp:effectExtent l="0" t="0" r="0" b="631"/>
            <wp:docPr id="1135744120"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256669"/>
                    </a:xfrm>
                    <a:prstGeom prst="rect">
                      <a:avLst/>
                    </a:prstGeom>
                    <a:noFill/>
                    <a:ln>
                      <a:noFill/>
                      <a:prstDash/>
                    </a:ln>
                  </pic:spPr>
                </pic:pic>
              </a:graphicData>
            </a:graphic>
          </wp:inline>
        </w:drawing>
      </w:r>
    </w:p>
    <w:p w14:paraId="13BCFFF6" w14:textId="77777777" w:rsidR="000C66D7" w:rsidRDefault="000C66D7" w:rsidP="000C66D7">
      <w:pPr>
        <w:rPr>
          <w:szCs w:val="28"/>
        </w:rPr>
      </w:pPr>
      <w:r>
        <w:rPr>
          <w:szCs w:val="28"/>
        </w:rPr>
        <w:tab/>
        <w:t>Ce tableau illustre l’émergence récente du solaire photovoltaïque dans le mix électrique français :</w:t>
      </w:r>
    </w:p>
    <w:p w14:paraId="54B4362A" w14:textId="77777777" w:rsidR="000C66D7" w:rsidRDefault="000C66D7" w:rsidP="000C66D7">
      <w:pPr>
        <w:pStyle w:val="Paragraphedeliste"/>
        <w:widowControl/>
        <w:numPr>
          <w:ilvl w:val="0"/>
          <w:numId w:val="12"/>
        </w:numPr>
        <w:autoSpaceDE/>
        <w:spacing w:after="160" w:line="254" w:lineRule="auto"/>
      </w:pPr>
      <w:r>
        <w:rPr>
          <w:b/>
          <w:bCs/>
          <w:szCs w:val="28"/>
        </w:rPr>
        <w:t>Un démarrage tardif </w:t>
      </w:r>
      <w:r>
        <w:rPr>
          <w:szCs w:val="28"/>
        </w:rPr>
        <w:t xml:space="preserve">: la production solaire est strictement nulle entre 2006-2010, ce qui explique l’absence de valeurs sur ces colonnes. Le développement effectif débute en 2011, </w:t>
      </w:r>
      <w:proofErr w:type="gramStart"/>
      <w:r>
        <w:rPr>
          <w:szCs w:val="28"/>
        </w:rPr>
        <w:t>suite à</w:t>
      </w:r>
      <w:proofErr w:type="gramEnd"/>
      <w:r>
        <w:rPr>
          <w:szCs w:val="28"/>
        </w:rPr>
        <w:t xml:space="preserve"> la mise en place des politiques publiques de soutien aux énergies renouvelables (Grenelle de l’environnement, tarifs de rachat). Pour cette raison, l’analyse a été restreinte à la période 2011-2022.</w:t>
      </w:r>
    </w:p>
    <w:p w14:paraId="208ED322" w14:textId="77777777" w:rsidR="000C66D7" w:rsidRDefault="000C66D7" w:rsidP="000C66D7">
      <w:pPr>
        <w:pStyle w:val="Paragraphedeliste"/>
        <w:widowControl/>
        <w:numPr>
          <w:ilvl w:val="0"/>
          <w:numId w:val="12"/>
        </w:numPr>
        <w:autoSpaceDE/>
        <w:spacing w:after="160" w:line="254" w:lineRule="auto"/>
      </w:pPr>
      <w:r>
        <w:rPr>
          <w:b/>
          <w:bCs/>
          <w:szCs w:val="28"/>
        </w:rPr>
        <w:t>Une croissance régulière et continue</w:t>
      </w:r>
      <w:r>
        <w:rPr>
          <w:szCs w:val="28"/>
        </w:rPr>
        <w:t> : le total général passe de 161 GWh en 2011 à 1583 GWh en 2022, soit une multiplication par près de 10 en 11 ans. Cette croissance reflète l’augmentation progressive du parc photovoltaïque installé en France.</w:t>
      </w:r>
    </w:p>
    <w:p w14:paraId="22468C15" w14:textId="77777777" w:rsidR="000C66D7" w:rsidRDefault="000C66D7" w:rsidP="000C66D7">
      <w:pPr>
        <w:pStyle w:val="Paragraphedeliste"/>
        <w:widowControl/>
        <w:numPr>
          <w:ilvl w:val="0"/>
          <w:numId w:val="12"/>
        </w:numPr>
        <w:autoSpaceDE/>
        <w:spacing w:after="160" w:line="254" w:lineRule="auto"/>
      </w:pPr>
      <w:r>
        <w:rPr>
          <w:b/>
          <w:bCs/>
          <w:szCs w:val="28"/>
        </w:rPr>
        <w:t>Une saisonnalité estival marquée</w:t>
      </w:r>
      <w:r>
        <w:rPr>
          <w:szCs w:val="28"/>
        </w:rPr>
        <w:t xml:space="preserve"> (opposée à l’éolien) : la production est maximale en été, avec des valeurs souvent 2 à 3 fois supérieurs à celle de l’hiver. Par exemple en 2022 : 2592 GWh en juillet contre 470 GWh en février. Cette saisonnalité est directement liée à l’ensoleillement et à la durée du jour.</w:t>
      </w:r>
    </w:p>
    <w:p w14:paraId="0778B51C" w14:textId="77777777" w:rsidR="000C66D7" w:rsidRDefault="000C66D7" w:rsidP="000C66D7">
      <w:pPr>
        <w:ind w:left="360"/>
        <w:rPr>
          <w:szCs w:val="28"/>
        </w:rPr>
      </w:pPr>
      <w:r>
        <w:rPr>
          <w:szCs w:val="28"/>
        </w:rPr>
        <w:t>Le solaire apparaît donc comme une source jeune mais en pleine expansion, dont la production complète idéalement celle de l’éolien (saisonnalité inversée), renforçant ainsi la cohérence saisonnière du mix renouvelable français.</w:t>
      </w:r>
    </w:p>
    <w:p w14:paraId="3CC89E7B" w14:textId="77777777" w:rsidR="000C66D7" w:rsidRDefault="000C66D7" w:rsidP="000C66D7">
      <w:pPr>
        <w:rPr>
          <w:szCs w:val="28"/>
        </w:rPr>
      </w:pPr>
      <w:r>
        <w:rPr>
          <w:szCs w:val="28"/>
        </w:rPr>
        <w:t>Les quatre TCD permettent de dresser une typologie des sources de production selon deux critères : la saisonnalité et la dynamique d’évolution.</w:t>
      </w:r>
    </w:p>
    <w:tbl>
      <w:tblPr>
        <w:tblW w:w="9062" w:type="dxa"/>
        <w:tblCellMar>
          <w:left w:w="10" w:type="dxa"/>
          <w:right w:w="10" w:type="dxa"/>
        </w:tblCellMar>
        <w:tblLook w:val="0000" w:firstRow="0" w:lastRow="0" w:firstColumn="0" w:lastColumn="0" w:noHBand="0" w:noVBand="0"/>
      </w:tblPr>
      <w:tblGrid>
        <w:gridCol w:w="1643"/>
        <w:gridCol w:w="3940"/>
        <w:gridCol w:w="3479"/>
      </w:tblGrid>
      <w:tr w:rsidR="000C66D7" w14:paraId="60757300" w14:textId="77777777" w:rsidTr="000158EE">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4AE12" w14:textId="77777777" w:rsidR="000C66D7" w:rsidRDefault="000C66D7" w:rsidP="000158EE">
            <w:pPr>
              <w:rPr>
                <w:b/>
                <w:bCs/>
                <w:szCs w:val="28"/>
              </w:rPr>
            </w:pPr>
            <w:r>
              <w:rPr>
                <w:b/>
                <w:bCs/>
                <w:szCs w:val="28"/>
              </w:rPr>
              <w:t>Source</w:t>
            </w:r>
          </w:p>
        </w:tc>
        <w:tc>
          <w:tcPr>
            <w:tcW w:w="3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6DD20" w14:textId="77777777" w:rsidR="000C66D7" w:rsidRDefault="000C66D7" w:rsidP="000158EE">
            <w:pPr>
              <w:rPr>
                <w:b/>
                <w:bCs/>
                <w:szCs w:val="28"/>
              </w:rPr>
            </w:pPr>
            <w:r>
              <w:rPr>
                <w:b/>
                <w:bCs/>
                <w:szCs w:val="28"/>
              </w:rPr>
              <w:t>Saisonnalité</w:t>
            </w:r>
          </w:p>
        </w:tc>
        <w:tc>
          <w:tcPr>
            <w:tcW w:w="3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E06BF" w14:textId="77777777" w:rsidR="000C66D7" w:rsidRDefault="000C66D7" w:rsidP="000158EE">
            <w:pPr>
              <w:rPr>
                <w:b/>
                <w:bCs/>
                <w:szCs w:val="28"/>
              </w:rPr>
            </w:pPr>
            <w:r>
              <w:rPr>
                <w:b/>
                <w:bCs/>
                <w:szCs w:val="28"/>
              </w:rPr>
              <w:t>Évolution 2006-2022</w:t>
            </w:r>
          </w:p>
        </w:tc>
      </w:tr>
      <w:tr w:rsidR="000C66D7" w14:paraId="1EFFCADD" w14:textId="77777777" w:rsidTr="000158EE">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9A7E3" w14:textId="77777777" w:rsidR="000C66D7" w:rsidRDefault="000C66D7" w:rsidP="000158EE">
            <w:r>
              <w:rPr>
                <w:b/>
                <w:bCs/>
                <w:szCs w:val="28"/>
              </w:rPr>
              <w:t>Nucléaire</w:t>
            </w:r>
          </w:p>
        </w:tc>
        <w:tc>
          <w:tcPr>
            <w:tcW w:w="3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A5DA0" w14:textId="77777777" w:rsidR="000C66D7" w:rsidRDefault="000C66D7" w:rsidP="000158EE">
            <w:pPr>
              <w:rPr>
                <w:szCs w:val="28"/>
              </w:rPr>
            </w:pPr>
            <w:r>
              <w:rPr>
                <w:szCs w:val="28"/>
              </w:rPr>
              <w:t>Pic hiver, creux été (maintenance)</w:t>
            </w:r>
          </w:p>
        </w:tc>
        <w:tc>
          <w:tcPr>
            <w:tcW w:w="3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67268" w14:textId="77777777" w:rsidR="000C66D7" w:rsidRDefault="000C66D7" w:rsidP="000158EE">
            <w:pPr>
              <w:rPr>
                <w:szCs w:val="28"/>
              </w:rPr>
            </w:pPr>
            <w:r>
              <w:rPr>
                <w:szCs w:val="28"/>
              </w:rPr>
              <w:t>Baisse (-35%)</w:t>
            </w:r>
          </w:p>
        </w:tc>
      </w:tr>
      <w:tr w:rsidR="000C66D7" w14:paraId="315E36D1" w14:textId="77777777" w:rsidTr="000158EE">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633E9" w14:textId="77777777" w:rsidR="000C66D7" w:rsidRDefault="000C66D7" w:rsidP="000158EE">
            <w:r>
              <w:rPr>
                <w:b/>
                <w:bCs/>
                <w:szCs w:val="28"/>
              </w:rPr>
              <w:t>Hydraulique</w:t>
            </w:r>
          </w:p>
        </w:tc>
        <w:tc>
          <w:tcPr>
            <w:tcW w:w="3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25141" w14:textId="77777777" w:rsidR="000C66D7" w:rsidRDefault="000C66D7" w:rsidP="000158EE">
            <w:pPr>
              <w:rPr>
                <w:szCs w:val="28"/>
              </w:rPr>
            </w:pPr>
            <w:r>
              <w:rPr>
                <w:szCs w:val="28"/>
              </w:rPr>
              <w:t>Pic printemps (fonte)</w:t>
            </w:r>
          </w:p>
        </w:tc>
        <w:tc>
          <w:tcPr>
            <w:tcW w:w="3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3FBC3" w14:textId="77777777" w:rsidR="000C66D7" w:rsidRDefault="000C66D7" w:rsidP="000158EE">
            <w:pPr>
              <w:rPr>
                <w:szCs w:val="28"/>
              </w:rPr>
            </w:pPr>
            <w:r>
              <w:rPr>
                <w:szCs w:val="28"/>
              </w:rPr>
              <w:t>Stable, dépendant climat</w:t>
            </w:r>
          </w:p>
        </w:tc>
      </w:tr>
      <w:tr w:rsidR="000C66D7" w14:paraId="765AF33F" w14:textId="77777777" w:rsidTr="000158EE">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9B4A4" w14:textId="77777777" w:rsidR="000C66D7" w:rsidRDefault="000C66D7" w:rsidP="000158EE">
            <w:r>
              <w:rPr>
                <w:b/>
                <w:bCs/>
                <w:szCs w:val="28"/>
              </w:rPr>
              <w:t>Éolien</w:t>
            </w:r>
          </w:p>
        </w:tc>
        <w:tc>
          <w:tcPr>
            <w:tcW w:w="3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39A59" w14:textId="77777777" w:rsidR="000C66D7" w:rsidRDefault="000C66D7" w:rsidP="000158EE">
            <w:pPr>
              <w:rPr>
                <w:szCs w:val="28"/>
              </w:rPr>
            </w:pPr>
            <w:r>
              <w:rPr>
                <w:szCs w:val="28"/>
              </w:rPr>
              <w:t>Pic hiver</w:t>
            </w:r>
          </w:p>
        </w:tc>
        <w:tc>
          <w:tcPr>
            <w:tcW w:w="3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50699" w14:textId="77777777" w:rsidR="000C66D7" w:rsidRDefault="000C66D7" w:rsidP="000158EE">
            <w:pPr>
              <w:rPr>
                <w:szCs w:val="28"/>
              </w:rPr>
            </w:pPr>
            <w:r>
              <w:rPr>
                <w:szCs w:val="28"/>
              </w:rPr>
              <w:t>Très forte croissance (×17)</w:t>
            </w:r>
          </w:p>
        </w:tc>
      </w:tr>
      <w:tr w:rsidR="000C66D7" w14:paraId="0AE32410" w14:textId="77777777" w:rsidTr="000158EE">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2A5A9" w14:textId="77777777" w:rsidR="000C66D7" w:rsidRDefault="000C66D7" w:rsidP="000158EE">
            <w:r>
              <w:rPr>
                <w:b/>
                <w:bCs/>
                <w:szCs w:val="28"/>
              </w:rPr>
              <w:t>Solaire</w:t>
            </w:r>
          </w:p>
        </w:tc>
        <w:tc>
          <w:tcPr>
            <w:tcW w:w="3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9FBEB" w14:textId="77777777" w:rsidR="000C66D7" w:rsidRDefault="000C66D7" w:rsidP="000158EE">
            <w:pPr>
              <w:rPr>
                <w:szCs w:val="28"/>
              </w:rPr>
            </w:pPr>
            <w:r>
              <w:rPr>
                <w:szCs w:val="28"/>
              </w:rPr>
              <w:t>Pic été</w:t>
            </w:r>
          </w:p>
        </w:tc>
        <w:tc>
          <w:tcPr>
            <w:tcW w:w="3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230B4" w14:textId="77777777" w:rsidR="000C66D7" w:rsidRDefault="000C66D7" w:rsidP="000158EE">
            <w:pPr>
              <w:rPr>
                <w:szCs w:val="28"/>
              </w:rPr>
            </w:pPr>
            <w:r>
              <w:rPr>
                <w:szCs w:val="28"/>
              </w:rPr>
              <w:t>Émergence depuis 2011 (×10)</w:t>
            </w:r>
          </w:p>
        </w:tc>
      </w:tr>
    </w:tbl>
    <w:p w14:paraId="46EB35E8" w14:textId="77777777" w:rsidR="000C66D7" w:rsidRDefault="000C66D7" w:rsidP="000C66D7">
      <w:pPr>
        <w:rPr>
          <w:szCs w:val="28"/>
        </w:rPr>
      </w:pPr>
    </w:p>
    <w:p w14:paraId="487FD2AF" w14:textId="77777777" w:rsidR="000C66D7" w:rsidRDefault="000C66D7" w:rsidP="000C66D7">
      <w:pPr>
        <w:rPr>
          <w:szCs w:val="28"/>
        </w:rPr>
      </w:pPr>
      <w:r>
        <w:rPr>
          <w:szCs w:val="28"/>
        </w:rPr>
        <w:t>On observe donc ainsi une complémentarité saisonnière entre l’éolien (hiver) et le solaire (été), ainsi qu’entre le nucléaire (hiver) et l’hydraulique (printemps). Cette diversité est un atout pour la sécurité d’approvisionnement du système électrique français.</w:t>
      </w:r>
    </w:p>
    <w:p w14:paraId="6AC24F66" w14:textId="77777777" w:rsidR="000C66D7" w:rsidRPr="00703C5C" w:rsidRDefault="000C66D7" w:rsidP="000C66D7">
      <w:pPr>
        <w:rPr>
          <w:color w:val="000000" w:themeColor="text1"/>
          <w:szCs w:val="28"/>
        </w:rPr>
      </w:pPr>
    </w:p>
    <w:p w14:paraId="3B6CF55D" w14:textId="77777777" w:rsidR="000C66D7" w:rsidRPr="00A44BBB" w:rsidRDefault="000C66D7" w:rsidP="000C66D7">
      <w:pPr>
        <w:pStyle w:val="Titre2"/>
        <w:numPr>
          <w:ilvl w:val="0"/>
          <w:numId w:val="6"/>
        </w:numPr>
        <w:rPr>
          <w:szCs w:val="36"/>
        </w:rPr>
      </w:pPr>
      <w:bookmarkStart w:id="13" w:name="_Toc229338114"/>
      <w:r w:rsidRPr="00A44BBB">
        <w:rPr>
          <w:szCs w:val="36"/>
        </w:rPr>
        <w:t>Évolution temporel de la production électrique</w:t>
      </w:r>
      <w:bookmarkEnd w:id="13"/>
    </w:p>
    <w:p w14:paraId="5E0DCD8B" w14:textId="77777777" w:rsidR="000C66D7" w:rsidRDefault="000C66D7" w:rsidP="000C66D7">
      <w:pPr>
        <w:pStyle w:val="Titre3"/>
        <w:numPr>
          <w:ilvl w:val="1"/>
          <w:numId w:val="6"/>
        </w:numPr>
        <w:ind w:left="1440" w:hanging="360"/>
        <w:rPr>
          <w:szCs w:val="32"/>
        </w:rPr>
      </w:pPr>
      <w:bookmarkStart w:id="14" w:name="_Toc229338115"/>
      <w:r w:rsidRPr="00A44BBB">
        <w:rPr>
          <w:szCs w:val="32"/>
        </w:rPr>
        <w:t>Évolution mensuelle des énergies renouvelables (Hydro, Éolien, Solaire)</w:t>
      </w:r>
      <w:bookmarkEnd w:id="14"/>
    </w:p>
    <w:p w14:paraId="529348C1" w14:textId="77777777" w:rsidR="000C66D7" w:rsidRPr="0081659E" w:rsidRDefault="000C66D7" w:rsidP="000C66D7">
      <w:pPr>
        <w:pStyle w:val="Paragraphedeliste"/>
        <w:ind w:left="780"/>
        <w:rPr>
          <w:b/>
          <w:bCs/>
          <w:szCs w:val="28"/>
        </w:rPr>
      </w:pPr>
      <w:r w:rsidRPr="0081659E">
        <w:rPr>
          <w:b/>
          <w:bCs/>
          <w:szCs w:val="28"/>
        </w:rPr>
        <w:t>Figure 1 – Évolution mensuelle de la production hydraulique, éolienne et solaire en France (2006-2022, en GWh)</w:t>
      </w:r>
    </w:p>
    <w:p w14:paraId="775AE63B" w14:textId="77777777" w:rsidR="000C66D7" w:rsidRDefault="000C66D7" w:rsidP="000C66D7">
      <w:pPr>
        <w:pStyle w:val="Paragraphedeliste"/>
        <w:ind w:left="780"/>
        <w:rPr>
          <w:szCs w:val="28"/>
        </w:rPr>
      </w:pPr>
      <w:r w:rsidRPr="006331E8">
        <w:rPr>
          <w:noProof/>
          <w:szCs w:val="28"/>
        </w:rPr>
        <w:drawing>
          <wp:inline distT="0" distB="0" distL="0" distR="0" wp14:anchorId="04EE7D4D" wp14:editId="4C499C2F">
            <wp:extent cx="5760720" cy="2268220"/>
            <wp:effectExtent l="0" t="0" r="0" b="0"/>
            <wp:docPr id="1942684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84317" name=""/>
                    <pic:cNvPicPr/>
                  </pic:nvPicPr>
                  <pic:blipFill>
                    <a:blip r:embed="rId14"/>
                    <a:stretch>
                      <a:fillRect/>
                    </a:stretch>
                  </pic:blipFill>
                  <pic:spPr>
                    <a:xfrm>
                      <a:off x="0" y="0"/>
                      <a:ext cx="5760720" cy="2268220"/>
                    </a:xfrm>
                    <a:prstGeom prst="rect">
                      <a:avLst/>
                    </a:prstGeom>
                  </pic:spPr>
                </pic:pic>
              </a:graphicData>
            </a:graphic>
          </wp:inline>
        </w:drawing>
      </w:r>
    </w:p>
    <w:p w14:paraId="753F68A1" w14:textId="77777777" w:rsidR="000C66D7" w:rsidRPr="008923DA" w:rsidRDefault="000C66D7" w:rsidP="000C66D7">
      <w:pPr>
        <w:pStyle w:val="Paragraphedeliste"/>
        <w:ind w:left="780"/>
        <w:rPr>
          <w:szCs w:val="28"/>
        </w:rPr>
      </w:pPr>
      <w:r>
        <w:rPr>
          <w:szCs w:val="28"/>
        </w:rPr>
        <w:t>Ce graphique superpose l’évolution mensuelle des trois sources renouvelables sur 17 ans, ce qui permet de visualiser simultanément les saisonnalités et les dynamique à long terme.</w:t>
      </w:r>
    </w:p>
    <w:p w14:paraId="1C9DEACB" w14:textId="77777777" w:rsidR="000C66D7" w:rsidRPr="006331E8" w:rsidRDefault="000C66D7" w:rsidP="000C66D7">
      <w:pPr>
        <w:pStyle w:val="Paragraphedeliste"/>
        <w:widowControl/>
        <w:numPr>
          <w:ilvl w:val="0"/>
          <w:numId w:val="13"/>
        </w:numPr>
        <w:autoSpaceDE/>
        <w:spacing w:after="160" w:line="254" w:lineRule="auto"/>
        <w:rPr>
          <w:szCs w:val="28"/>
        </w:rPr>
      </w:pPr>
      <w:r w:rsidRPr="006331E8">
        <w:rPr>
          <w:b/>
          <w:bCs/>
          <w:szCs w:val="28"/>
        </w:rPr>
        <w:t>L'hydraulique</w:t>
      </w:r>
      <w:r w:rsidRPr="006331E8">
        <w:rPr>
          <w:szCs w:val="28"/>
        </w:rPr>
        <w:t xml:space="preserve"> (courbe bleue) présente des </w:t>
      </w:r>
      <w:r w:rsidRPr="006331E8">
        <w:rPr>
          <w:b/>
          <w:bCs/>
          <w:szCs w:val="28"/>
        </w:rPr>
        <w:t>oscillations régulières</w:t>
      </w:r>
      <w:r w:rsidRPr="006331E8">
        <w:rPr>
          <w:szCs w:val="28"/>
        </w:rPr>
        <w:t xml:space="preserve"> autour d'une moyenne stable (~5 300 GWh/mois). Les pics correspondent aux </w:t>
      </w:r>
      <w:r w:rsidRPr="006331E8">
        <w:rPr>
          <w:b/>
          <w:bCs/>
          <w:szCs w:val="28"/>
        </w:rPr>
        <w:t>mois de printemps</w:t>
      </w:r>
      <w:r w:rsidRPr="006331E8">
        <w:rPr>
          <w:szCs w:val="28"/>
        </w:rPr>
        <w:t xml:space="preserve"> (avril-mai) et les creux aux </w:t>
      </w:r>
      <w:r w:rsidRPr="006331E8">
        <w:rPr>
          <w:b/>
          <w:bCs/>
          <w:szCs w:val="28"/>
        </w:rPr>
        <w:t>mois d'été et début d'automne</w:t>
      </w:r>
      <w:r w:rsidRPr="006331E8">
        <w:rPr>
          <w:szCs w:val="28"/>
        </w:rPr>
        <w:t xml:space="preserve"> (septembre-octobre). On note une </w:t>
      </w:r>
      <w:r w:rsidRPr="006331E8">
        <w:rPr>
          <w:b/>
          <w:bCs/>
          <w:szCs w:val="28"/>
        </w:rPr>
        <w:t>baisse marquée en 2022</w:t>
      </w:r>
      <w:r w:rsidRPr="006331E8">
        <w:rPr>
          <w:szCs w:val="28"/>
        </w:rPr>
        <w:t xml:space="preserve"> (sécheresse historique).</w:t>
      </w:r>
    </w:p>
    <w:p w14:paraId="71451C6C" w14:textId="77777777" w:rsidR="000C66D7" w:rsidRPr="006331E8" w:rsidRDefault="000C66D7" w:rsidP="000C66D7">
      <w:pPr>
        <w:pStyle w:val="Paragraphedeliste"/>
        <w:widowControl/>
        <w:numPr>
          <w:ilvl w:val="0"/>
          <w:numId w:val="13"/>
        </w:numPr>
        <w:autoSpaceDE/>
        <w:spacing w:after="160" w:line="254" w:lineRule="auto"/>
        <w:rPr>
          <w:szCs w:val="28"/>
        </w:rPr>
      </w:pPr>
      <w:r w:rsidRPr="006331E8">
        <w:rPr>
          <w:b/>
          <w:bCs/>
          <w:szCs w:val="28"/>
        </w:rPr>
        <w:t>L'éolien</w:t>
      </w:r>
      <w:r w:rsidRPr="006331E8">
        <w:rPr>
          <w:szCs w:val="28"/>
        </w:rPr>
        <w:t xml:space="preserve"> (courbe verte) montre une </w:t>
      </w:r>
      <w:r w:rsidRPr="006331E8">
        <w:rPr>
          <w:b/>
          <w:bCs/>
          <w:szCs w:val="28"/>
        </w:rPr>
        <w:t>tendance haussière nette</w:t>
      </w:r>
      <w:r w:rsidRPr="006331E8">
        <w:rPr>
          <w:szCs w:val="28"/>
        </w:rPr>
        <w:t xml:space="preserve"> : autour de 200 GWh/mois en 2006, la production atteint régulièrement </w:t>
      </w:r>
      <w:r w:rsidRPr="006331E8">
        <w:rPr>
          <w:b/>
          <w:bCs/>
          <w:szCs w:val="28"/>
        </w:rPr>
        <w:t>3 000 à 5 000 GWh/mois</w:t>
      </w:r>
      <w:r w:rsidRPr="006331E8">
        <w:rPr>
          <w:szCs w:val="28"/>
        </w:rPr>
        <w:t xml:space="preserve"> en fin de période. Les pics sont </w:t>
      </w:r>
      <w:r w:rsidRPr="006331E8">
        <w:rPr>
          <w:b/>
          <w:bCs/>
          <w:szCs w:val="28"/>
        </w:rPr>
        <w:t>hivernaux</w:t>
      </w:r>
      <w:r w:rsidRPr="006331E8">
        <w:rPr>
          <w:szCs w:val="28"/>
        </w:rPr>
        <w:t>.</w:t>
      </w:r>
    </w:p>
    <w:p w14:paraId="036061A9" w14:textId="77777777" w:rsidR="000C66D7" w:rsidRDefault="000C66D7" w:rsidP="000C66D7">
      <w:pPr>
        <w:pStyle w:val="Paragraphedeliste"/>
        <w:widowControl/>
        <w:numPr>
          <w:ilvl w:val="0"/>
          <w:numId w:val="13"/>
        </w:numPr>
        <w:autoSpaceDE/>
        <w:spacing w:after="160" w:line="254" w:lineRule="auto"/>
        <w:rPr>
          <w:szCs w:val="28"/>
        </w:rPr>
      </w:pPr>
      <w:r w:rsidRPr="006331E8">
        <w:rPr>
          <w:b/>
          <w:bCs/>
          <w:szCs w:val="28"/>
        </w:rPr>
        <w:t>Le solaire</w:t>
      </w:r>
      <w:r w:rsidRPr="006331E8">
        <w:rPr>
          <w:szCs w:val="28"/>
        </w:rPr>
        <w:t xml:space="preserve"> (courbe jaune) reste à zéro jusqu'en 2011, puis croît de façon </w:t>
      </w:r>
      <w:r w:rsidRPr="006331E8">
        <w:rPr>
          <w:b/>
          <w:bCs/>
          <w:szCs w:val="28"/>
        </w:rPr>
        <w:t>régulière</w:t>
      </w:r>
      <w:r w:rsidRPr="006331E8">
        <w:rPr>
          <w:szCs w:val="28"/>
        </w:rPr>
        <w:t xml:space="preserve">, avec une saisonnalité </w:t>
      </w:r>
      <w:r w:rsidRPr="006331E8">
        <w:rPr>
          <w:b/>
          <w:bCs/>
          <w:szCs w:val="28"/>
        </w:rPr>
        <w:t>estivale</w:t>
      </w:r>
      <w:r w:rsidRPr="006331E8">
        <w:rPr>
          <w:szCs w:val="28"/>
        </w:rPr>
        <w:t xml:space="preserve"> clairement visible (pics en juin-juillet, creux en décembre-janvier).</w:t>
      </w:r>
    </w:p>
    <w:p w14:paraId="238F3EC7" w14:textId="77777777" w:rsidR="000C66D7" w:rsidRPr="008923DA" w:rsidRDefault="000C66D7" w:rsidP="000C66D7">
      <w:pPr>
        <w:ind w:left="360"/>
        <w:rPr>
          <w:szCs w:val="28"/>
        </w:rPr>
      </w:pPr>
    </w:p>
    <w:p w14:paraId="49681C7A" w14:textId="77777777" w:rsidR="000C66D7" w:rsidRDefault="000C66D7" w:rsidP="000C66D7">
      <w:pPr>
        <w:rPr>
          <w:szCs w:val="28"/>
        </w:rPr>
      </w:pPr>
      <w:r w:rsidRPr="008923DA">
        <w:rPr>
          <w:szCs w:val="28"/>
        </w:rPr>
        <w:t xml:space="preserve">On observe ainsi une </w:t>
      </w:r>
      <w:r w:rsidRPr="008923DA">
        <w:rPr>
          <w:b/>
          <w:bCs/>
          <w:szCs w:val="28"/>
        </w:rPr>
        <w:t>complémentarité saisonnière éolien/solaire</w:t>
      </w:r>
      <w:r w:rsidRPr="008923DA">
        <w:rPr>
          <w:szCs w:val="28"/>
        </w:rPr>
        <w:t xml:space="preserve"> : quand l'un produit peu, l'autre produit beaucoup, ce qui lisse l'apport renouvelable sur l'année.</w:t>
      </w:r>
    </w:p>
    <w:p w14:paraId="3A195966" w14:textId="77777777" w:rsidR="000C66D7" w:rsidRDefault="000C66D7" w:rsidP="000C66D7">
      <w:pPr>
        <w:pStyle w:val="Titre3"/>
        <w:numPr>
          <w:ilvl w:val="1"/>
          <w:numId w:val="6"/>
        </w:numPr>
        <w:ind w:left="1440" w:hanging="360"/>
      </w:pPr>
      <w:bookmarkStart w:id="15" w:name="_Toc229338116"/>
      <w:r>
        <w:t>Évolution mensuelle de la production nucléaire</w:t>
      </w:r>
      <w:bookmarkEnd w:id="15"/>
    </w:p>
    <w:p w14:paraId="7987792A" w14:textId="77777777" w:rsidR="000C66D7" w:rsidRPr="0081659E" w:rsidRDefault="000C66D7" w:rsidP="000C66D7">
      <w:pPr>
        <w:ind w:left="360"/>
        <w:rPr>
          <w:b/>
          <w:bCs/>
        </w:rPr>
      </w:pPr>
      <w:r w:rsidRPr="0081659E">
        <w:rPr>
          <w:b/>
          <w:bCs/>
        </w:rPr>
        <w:t>Figure 2 – Évolution mensuelle de la production nucléaire en France (2006-2022, en GWh électriques)</w:t>
      </w:r>
    </w:p>
    <w:p w14:paraId="5D403BAA" w14:textId="77777777" w:rsidR="000C66D7" w:rsidRPr="00B26D88" w:rsidRDefault="000C66D7" w:rsidP="000C66D7">
      <w:pPr>
        <w:ind w:left="360"/>
      </w:pPr>
      <w:r w:rsidRPr="00622F0A">
        <w:rPr>
          <w:noProof/>
        </w:rPr>
        <w:drawing>
          <wp:inline distT="0" distB="0" distL="0" distR="0" wp14:anchorId="3EF98D2B" wp14:editId="06A97926">
            <wp:extent cx="4930567" cy="2758679"/>
            <wp:effectExtent l="0" t="0" r="3810" b="3810"/>
            <wp:docPr id="1184295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95361" name=""/>
                    <pic:cNvPicPr/>
                  </pic:nvPicPr>
                  <pic:blipFill>
                    <a:blip r:embed="rId15"/>
                    <a:stretch>
                      <a:fillRect/>
                    </a:stretch>
                  </pic:blipFill>
                  <pic:spPr>
                    <a:xfrm>
                      <a:off x="0" y="0"/>
                      <a:ext cx="4930567" cy="2758679"/>
                    </a:xfrm>
                    <a:prstGeom prst="rect">
                      <a:avLst/>
                    </a:prstGeom>
                  </pic:spPr>
                </pic:pic>
              </a:graphicData>
            </a:graphic>
          </wp:inline>
        </w:drawing>
      </w:r>
    </w:p>
    <w:p w14:paraId="043DC8E5" w14:textId="77777777" w:rsidR="000C66D7" w:rsidRPr="005569DB" w:rsidRDefault="000C66D7" w:rsidP="000C66D7">
      <w:pPr>
        <w:rPr>
          <w:szCs w:val="28"/>
        </w:rPr>
      </w:pPr>
      <w:r w:rsidRPr="005569DB">
        <w:rPr>
          <w:szCs w:val="28"/>
        </w:rPr>
        <w:t xml:space="preserve">La production nucléaire présente un comportement </w:t>
      </w:r>
      <w:r w:rsidRPr="005569DB">
        <w:rPr>
          <w:b/>
          <w:bCs/>
          <w:szCs w:val="28"/>
        </w:rPr>
        <w:t>très différent</w:t>
      </w:r>
      <w:r w:rsidRPr="005569DB">
        <w:rPr>
          <w:szCs w:val="28"/>
        </w:rPr>
        <w:t xml:space="preserve"> des renouvelables :</w:t>
      </w:r>
    </w:p>
    <w:p w14:paraId="5150AE64" w14:textId="77777777" w:rsidR="000C66D7" w:rsidRPr="005569DB" w:rsidRDefault="000C66D7" w:rsidP="000C66D7">
      <w:pPr>
        <w:widowControl/>
        <w:numPr>
          <w:ilvl w:val="0"/>
          <w:numId w:val="14"/>
        </w:numPr>
        <w:autoSpaceDE/>
        <w:spacing w:after="160" w:line="254" w:lineRule="auto"/>
        <w:rPr>
          <w:szCs w:val="28"/>
        </w:rPr>
      </w:pPr>
      <w:r w:rsidRPr="005569DB">
        <w:rPr>
          <w:b/>
          <w:bCs/>
          <w:szCs w:val="28"/>
        </w:rPr>
        <w:t>Une saisonnalité inverse à l'hydraulique</w:t>
      </w:r>
      <w:r w:rsidRPr="005569DB">
        <w:rPr>
          <w:szCs w:val="28"/>
        </w:rPr>
        <w:t xml:space="preserve"> : la production est </w:t>
      </w:r>
      <w:r w:rsidRPr="005569DB">
        <w:rPr>
          <w:b/>
          <w:bCs/>
          <w:szCs w:val="28"/>
        </w:rPr>
        <w:t>maximale en hiver</w:t>
      </w:r>
      <w:r w:rsidRPr="005569DB">
        <w:rPr>
          <w:szCs w:val="28"/>
        </w:rPr>
        <w:t xml:space="preserve"> (pic de demande, donc maintien des tranches en service) et </w:t>
      </w:r>
      <w:r w:rsidRPr="005569DB">
        <w:rPr>
          <w:b/>
          <w:bCs/>
          <w:szCs w:val="28"/>
        </w:rPr>
        <w:t>minimale en été</w:t>
      </w:r>
      <w:r w:rsidRPr="005569DB">
        <w:rPr>
          <w:szCs w:val="28"/>
        </w:rPr>
        <w:t xml:space="preserve"> (arrêts programmés pour </w:t>
      </w:r>
      <w:r w:rsidRPr="005569DB">
        <w:rPr>
          <w:b/>
          <w:bCs/>
          <w:szCs w:val="28"/>
        </w:rPr>
        <w:t>maintenance et rechargement de combustible</w:t>
      </w:r>
      <w:r w:rsidRPr="005569DB">
        <w:rPr>
          <w:szCs w:val="28"/>
        </w:rPr>
        <w:t xml:space="preserve">). On observe ainsi des </w:t>
      </w:r>
      <w:r w:rsidRPr="005569DB">
        <w:rPr>
          <w:b/>
          <w:bCs/>
          <w:szCs w:val="28"/>
        </w:rPr>
        <w:t>oscillations annuelles régulières</w:t>
      </w:r>
      <w:r w:rsidRPr="005569DB">
        <w:rPr>
          <w:szCs w:val="28"/>
        </w:rPr>
        <w:t>.</w:t>
      </w:r>
    </w:p>
    <w:p w14:paraId="1F3F0AD2" w14:textId="77777777" w:rsidR="000C66D7" w:rsidRPr="005569DB" w:rsidRDefault="000C66D7" w:rsidP="000C66D7">
      <w:pPr>
        <w:widowControl/>
        <w:numPr>
          <w:ilvl w:val="0"/>
          <w:numId w:val="14"/>
        </w:numPr>
        <w:autoSpaceDE/>
        <w:spacing w:after="160" w:line="254" w:lineRule="auto"/>
        <w:rPr>
          <w:szCs w:val="28"/>
        </w:rPr>
      </w:pPr>
      <w:r w:rsidRPr="005569DB">
        <w:rPr>
          <w:b/>
          <w:bCs/>
          <w:szCs w:val="28"/>
        </w:rPr>
        <w:t>Une tendance globale à la baisse</w:t>
      </w:r>
      <w:r w:rsidRPr="005569DB">
        <w:rPr>
          <w:szCs w:val="28"/>
        </w:rPr>
        <w:t xml:space="preserve"> : on passe d'une moyenne d'environ </w:t>
      </w:r>
      <w:r w:rsidRPr="005569DB">
        <w:rPr>
          <w:b/>
          <w:bCs/>
          <w:szCs w:val="28"/>
        </w:rPr>
        <w:t>39 000 GWh électriques/mois en 2006</w:t>
      </w:r>
      <w:r w:rsidRPr="005569DB">
        <w:rPr>
          <w:szCs w:val="28"/>
        </w:rPr>
        <w:t xml:space="preserve"> à environ </w:t>
      </w:r>
      <w:r w:rsidRPr="005569DB">
        <w:rPr>
          <w:b/>
          <w:bCs/>
          <w:szCs w:val="28"/>
        </w:rPr>
        <w:t>25 000 GWh/mois en 2022</w:t>
      </w:r>
      <w:r w:rsidRPr="005569DB">
        <w:rPr>
          <w:szCs w:val="28"/>
        </w:rPr>
        <w:t xml:space="preserve">, soit une </w:t>
      </w:r>
      <w:r w:rsidRPr="005569DB">
        <w:rPr>
          <w:b/>
          <w:bCs/>
          <w:szCs w:val="28"/>
        </w:rPr>
        <w:t>baisse de l'ordre de 35 %</w:t>
      </w:r>
      <w:r w:rsidRPr="005569DB">
        <w:rPr>
          <w:szCs w:val="28"/>
        </w:rPr>
        <w:t xml:space="preserve"> sur la période.</w:t>
      </w:r>
    </w:p>
    <w:p w14:paraId="508EE19F" w14:textId="77777777" w:rsidR="000C66D7" w:rsidRPr="005569DB" w:rsidRDefault="000C66D7" w:rsidP="000C66D7">
      <w:pPr>
        <w:widowControl/>
        <w:numPr>
          <w:ilvl w:val="0"/>
          <w:numId w:val="14"/>
        </w:numPr>
        <w:autoSpaceDE/>
        <w:spacing w:after="160" w:line="254" w:lineRule="auto"/>
        <w:rPr>
          <w:szCs w:val="28"/>
        </w:rPr>
      </w:pPr>
      <w:r w:rsidRPr="005569DB">
        <w:rPr>
          <w:b/>
          <w:bCs/>
          <w:szCs w:val="28"/>
        </w:rPr>
        <w:t>Un effondrement marqué en 2022</w:t>
      </w:r>
      <w:r w:rsidRPr="005569DB">
        <w:rPr>
          <w:szCs w:val="28"/>
        </w:rPr>
        <w:t xml:space="preserve"> : la production atteint son </w:t>
      </w:r>
      <w:r w:rsidRPr="005569DB">
        <w:rPr>
          <w:b/>
          <w:bCs/>
          <w:szCs w:val="28"/>
        </w:rPr>
        <w:t>plus bas niveau historique</w:t>
      </w:r>
      <w:r w:rsidRPr="005569DB">
        <w:rPr>
          <w:szCs w:val="28"/>
        </w:rPr>
        <w:t xml:space="preserve">, en raison de la </w:t>
      </w:r>
      <w:r w:rsidRPr="005569DB">
        <w:rPr>
          <w:b/>
          <w:bCs/>
          <w:szCs w:val="28"/>
        </w:rPr>
        <w:t>crise de corrosion sous contrainte (CSC)</w:t>
      </w:r>
      <w:r w:rsidRPr="005569DB">
        <w:rPr>
          <w:szCs w:val="28"/>
        </w:rPr>
        <w:t xml:space="preserve"> détectée sur plusieurs réacteurs, qui a entraîné l'arrêt simultané de nombreuses tranches.</w:t>
      </w:r>
    </w:p>
    <w:p w14:paraId="1472679B" w14:textId="77777777" w:rsidR="000C66D7" w:rsidRDefault="000C66D7" w:rsidP="000C66D7">
      <w:pPr>
        <w:rPr>
          <w:szCs w:val="28"/>
        </w:rPr>
      </w:pPr>
      <w:r w:rsidRPr="005569DB">
        <w:rPr>
          <w:szCs w:val="28"/>
        </w:rPr>
        <w:t xml:space="preserve">Cette évolution traduit une </w:t>
      </w:r>
      <w:r w:rsidRPr="005569DB">
        <w:rPr>
          <w:b/>
          <w:bCs/>
          <w:szCs w:val="28"/>
        </w:rPr>
        <w:t>fragilité croissante du parc nucléaire français vieillissant</w:t>
      </w:r>
      <w:r w:rsidRPr="005569DB">
        <w:rPr>
          <w:szCs w:val="28"/>
        </w:rPr>
        <w:t xml:space="preserve">, et explique en partie le recours accru aux </w:t>
      </w:r>
      <w:r w:rsidRPr="005569DB">
        <w:rPr>
          <w:b/>
          <w:bCs/>
          <w:szCs w:val="28"/>
        </w:rPr>
        <w:t>importations d'électricité</w:t>
      </w:r>
      <w:r w:rsidRPr="005569DB">
        <w:rPr>
          <w:szCs w:val="28"/>
        </w:rPr>
        <w:t xml:space="preserve"> sur les dernières années.</w:t>
      </w:r>
    </w:p>
    <w:p w14:paraId="03FD6CCB" w14:textId="77777777" w:rsidR="000C66D7" w:rsidRDefault="000C66D7" w:rsidP="000C66D7">
      <w:pPr>
        <w:pStyle w:val="Titre3"/>
        <w:numPr>
          <w:ilvl w:val="1"/>
          <w:numId w:val="6"/>
        </w:numPr>
        <w:ind w:left="1440" w:hanging="360"/>
      </w:pPr>
      <w:bookmarkStart w:id="16" w:name="_Toc229338117"/>
      <w:r>
        <w:t>Évolution annuelle du mix de production</w:t>
      </w:r>
      <w:bookmarkEnd w:id="16"/>
    </w:p>
    <w:p w14:paraId="2C43662A" w14:textId="77777777" w:rsidR="000C66D7" w:rsidRPr="0081659E" w:rsidRDefault="000C66D7" w:rsidP="000C66D7">
      <w:pPr>
        <w:ind w:left="360"/>
        <w:rPr>
          <w:b/>
          <w:bCs/>
        </w:rPr>
      </w:pPr>
      <w:r w:rsidRPr="0081659E">
        <w:rPr>
          <w:b/>
          <w:bCs/>
        </w:rPr>
        <w:t>Figure 3 – Production électrique annuelle par source (diagramme empilé, 2006-2022)</w:t>
      </w:r>
    </w:p>
    <w:p w14:paraId="30B31880" w14:textId="77777777" w:rsidR="000C66D7" w:rsidRPr="00D170DA" w:rsidRDefault="000C66D7" w:rsidP="000C66D7">
      <w:pPr>
        <w:ind w:left="360"/>
      </w:pPr>
      <w:r w:rsidRPr="00F33873">
        <w:rPr>
          <w:noProof/>
        </w:rPr>
        <w:drawing>
          <wp:inline distT="0" distB="0" distL="0" distR="0" wp14:anchorId="2E996812" wp14:editId="4E3A3608">
            <wp:extent cx="4861981" cy="3101609"/>
            <wp:effectExtent l="0" t="0" r="0" b="3810"/>
            <wp:docPr id="48914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000" name=""/>
                    <pic:cNvPicPr/>
                  </pic:nvPicPr>
                  <pic:blipFill>
                    <a:blip r:embed="rId16"/>
                    <a:stretch>
                      <a:fillRect/>
                    </a:stretch>
                  </pic:blipFill>
                  <pic:spPr>
                    <a:xfrm>
                      <a:off x="0" y="0"/>
                      <a:ext cx="4861981" cy="3101609"/>
                    </a:xfrm>
                    <a:prstGeom prst="rect">
                      <a:avLst/>
                    </a:prstGeom>
                  </pic:spPr>
                </pic:pic>
              </a:graphicData>
            </a:graphic>
          </wp:inline>
        </w:drawing>
      </w:r>
    </w:p>
    <w:p w14:paraId="61BFA5AA" w14:textId="77777777" w:rsidR="000C66D7" w:rsidRPr="00900C68" w:rsidRDefault="000C66D7" w:rsidP="000C66D7">
      <w:pPr>
        <w:rPr>
          <w:szCs w:val="28"/>
        </w:rPr>
      </w:pPr>
      <w:r w:rsidRPr="00900C68">
        <w:rPr>
          <w:szCs w:val="28"/>
        </w:rPr>
        <w:t>Ce</w:t>
      </w:r>
      <w:r>
        <w:rPr>
          <w:szCs w:val="28"/>
        </w:rPr>
        <w:t xml:space="preserve"> diagramme</w:t>
      </w:r>
      <w:r w:rsidRPr="00900C68">
        <w:rPr>
          <w:szCs w:val="28"/>
        </w:rPr>
        <w:t xml:space="preserve"> empilé permet de visualiser </w:t>
      </w:r>
      <w:r w:rsidRPr="00900C68">
        <w:rPr>
          <w:b/>
          <w:bCs/>
          <w:szCs w:val="28"/>
        </w:rPr>
        <w:t>la composition du mix année par année</w:t>
      </w:r>
      <w:r w:rsidRPr="00900C68">
        <w:rPr>
          <w:szCs w:val="28"/>
        </w:rPr>
        <w:t xml:space="preserve"> :</w:t>
      </w:r>
    </w:p>
    <w:p w14:paraId="10434952" w14:textId="77777777" w:rsidR="000C66D7" w:rsidRPr="00900C68" w:rsidRDefault="000C66D7" w:rsidP="000C66D7">
      <w:pPr>
        <w:widowControl/>
        <w:numPr>
          <w:ilvl w:val="0"/>
          <w:numId w:val="15"/>
        </w:numPr>
        <w:autoSpaceDE/>
        <w:spacing w:after="160" w:line="254" w:lineRule="auto"/>
        <w:rPr>
          <w:szCs w:val="28"/>
        </w:rPr>
      </w:pPr>
      <w:r w:rsidRPr="00900C68">
        <w:rPr>
          <w:szCs w:val="28"/>
        </w:rPr>
        <w:t xml:space="preserve">La </w:t>
      </w:r>
      <w:r w:rsidRPr="00900C68">
        <w:rPr>
          <w:b/>
          <w:bCs/>
          <w:szCs w:val="28"/>
        </w:rPr>
        <w:t>production totale reste relativement stable</w:t>
      </w:r>
      <w:r w:rsidRPr="00900C68">
        <w:rPr>
          <w:szCs w:val="28"/>
        </w:rPr>
        <w:t xml:space="preserve"> sur la période (autour de 500-550 TWh/an), ce qui montre que </w:t>
      </w:r>
      <w:r w:rsidRPr="00900C68">
        <w:rPr>
          <w:b/>
          <w:bCs/>
          <w:szCs w:val="28"/>
        </w:rPr>
        <w:t>la baisse du nucléaire a été compensée</w:t>
      </w:r>
      <w:r w:rsidRPr="00900C68">
        <w:rPr>
          <w:szCs w:val="28"/>
        </w:rPr>
        <w:t xml:space="preserve"> par la montée des renouvelables et, dans une moindre mesure, par les importations.</w:t>
      </w:r>
    </w:p>
    <w:p w14:paraId="00608B1C" w14:textId="77777777" w:rsidR="000C66D7" w:rsidRPr="00900C68" w:rsidRDefault="000C66D7" w:rsidP="000C66D7">
      <w:pPr>
        <w:widowControl/>
        <w:numPr>
          <w:ilvl w:val="0"/>
          <w:numId w:val="15"/>
        </w:numPr>
        <w:autoSpaceDE/>
        <w:spacing w:after="160" w:line="254" w:lineRule="auto"/>
        <w:rPr>
          <w:szCs w:val="28"/>
        </w:rPr>
      </w:pPr>
      <w:r w:rsidRPr="00900C68">
        <w:rPr>
          <w:szCs w:val="28"/>
        </w:rPr>
        <w:t xml:space="preserve">La </w:t>
      </w:r>
      <w:r w:rsidRPr="00900C68">
        <w:rPr>
          <w:b/>
          <w:bCs/>
          <w:szCs w:val="28"/>
        </w:rPr>
        <w:t>part des EnR (éolien + solaire) augmente progressivement</w:t>
      </w:r>
      <w:r w:rsidRPr="00900C68">
        <w:rPr>
          <w:szCs w:val="28"/>
        </w:rPr>
        <w:t xml:space="preserve"> : quasi inexistante en 2006, elle représente une part visible du mix dès 2015 et continue de croître jusqu'en 2022.</w:t>
      </w:r>
    </w:p>
    <w:p w14:paraId="12C56D1E" w14:textId="77777777" w:rsidR="000C66D7" w:rsidRPr="00900C68" w:rsidRDefault="000C66D7" w:rsidP="000C66D7">
      <w:pPr>
        <w:widowControl/>
        <w:numPr>
          <w:ilvl w:val="0"/>
          <w:numId w:val="15"/>
        </w:numPr>
        <w:autoSpaceDE/>
        <w:spacing w:after="160" w:line="254" w:lineRule="auto"/>
        <w:rPr>
          <w:szCs w:val="28"/>
        </w:rPr>
      </w:pPr>
      <w:r w:rsidRPr="00900C68">
        <w:rPr>
          <w:szCs w:val="28"/>
        </w:rPr>
        <w:t>L'</w:t>
      </w:r>
      <w:r w:rsidRPr="00900C68">
        <w:rPr>
          <w:b/>
          <w:bCs/>
          <w:szCs w:val="28"/>
        </w:rPr>
        <w:t>hydraulique reste un socle stable</w:t>
      </w:r>
      <w:r w:rsidRPr="00900C68">
        <w:rPr>
          <w:szCs w:val="28"/>
        </w:rPr>
        <w:t>, malgré sa variabilité annuelle.</w:t>
      </w:r>
    </w:p>
    <w:p w14:paraId="3AF7D75D" w14:textId="77777777" w:rsidR="000C66D7" w:rsidRDefault="000C66D7" w:rsidP="000C66D7">
      <w:pPr>
        <w:widowControl/>
        <w:numPr>
          <w:ilvl w:val="0"/>
          <w:numId w:val="15"/>
        </w:numPr>
        <w:autoSpaceDE/>
        <w:spacing w:after="160" w:line="254" w:lineRule="auto"/>
        <w:rPr>
          <w:szCs w:val="28"/>
        </w:rPr>
      </w:pPr>
      <w:r w:rsidRPr="00900C68">
        <w:rPr>
          <w:szCs w:val="28"/>
        </w:rPr>
        <w:t xml:space="preserve">La </w:t>
      </w:r>
      <w:r w:rsidRPr="00900C68">
        <w:rPr>
          <w:b/>
          <w:bCs/>
          <w:szCs w:val="28"/>
        </w:rPr>
        <w:t>chute du nucléaire en 2022</w:t>
      </w:r>
      <w:r w:rsidRPr="00900C68">
        <w:rPr>
          <w:szCs w:val="28"/>
        </w:rPr>
        <w:t xml:space="preserve"> est très visible et n'est </w:t>
      </w:r>
      <w:r w:rsidRPr="00900C68">
        <w:rPr>
          <w:b/>
          <w:bCs/>
          <w:szCs w:val="28"/>
        </w:rPr>
        <w:t>que partiellement compensée</w:t>
      </w:r>
      <w:r w:rsidRPr="00900C68">
        <w:rPr>
          <w:szCs w:val="28"/>
        </w:rPr>
        <w:t xml:space="preserve"> par les autres sources, ce qui explique que la France soit devenue </w:t>
      </w:r>
      <w:r w:rsidRPr="00900C68">
        <w:rPr>
          <w:b/>
          <w:bCs/>
          <w:szCs w:val="28"/>
        </w:rPr>
        <w:t>importatrice nette d'électricité</w:t>
      </w:r>
      <w:r w:rsidRPr="00900C68">
        <w:rPr>
          <w:szCs w:val="28"/>
        </w:rPr>
        <w:t xml:space="preserve"> cette année-là (situation historiquement rare).</w:t>
      </w:r>
    </w:p>
    <w:p w14:paraId="510DED39" w14:textId="77777777" w:rsidR="000C66D7" w:rsidRDefault="000C66D7" w:rsidP="000C66D7">
      <w:pPr>
        <w:pStyle w:val="Titre3"/>
        <w:numPr>
          <w:ilvl w:val="1"/>
          <w:numId w:val="6"/>
        </w:numPr>
        <w:ind w:left="1440" w:hanging="360"/>
      </w:pPr>
      <w:bookmarkStart w:id="17" w:name="_Toc229338118"/>
      <w:r>
        <w:t>Synthèse de l’évolution temporelle</w:t>
      </w:r>
      <w:bookmarkEnd w:id="17"/>
    </w:p>
    <w:p w14:paraId="1E5278FA" w14:textId="77777777" w:rsidR="000C66D7" w:rsidRPr="004C590A" w:rsidRDefault="000C66D7" w:rsidP="000C66D7">
      <w:pPr>
        <w:ind w:left="360"/>
      </w:pPr>
      <w:r w:rsidRPr="004C590A">
        <w:rPr>
          <w:b/>
          <w:bCs/>
        </w:rPr>
        <w:t>Trois grands enseignements</w:t>
      </w:r>
      <w:r w:rsidRPr="004C590A">
        <w:t xml:space="preserve"> ressortent de cette analyse temporelle :</w:t>
      </w:r>
    </w:p>
    <w:p w14:paraId="5CF7DD6B" w14:textId="77777777" w:rsidR="000C66D7" w:rsidRPr="004C590A" w:rsidRDefault="000C66D7" w:rsidP="000C66D7">
      <w:pPr>
        <w:widowControl/>
        <w:numPr>
          <w:ilvl w:val="0"/>
          <w:numId w:val="16"/>
        </w:numPr>
        <w:autoSpaceDE/>
        <w:spacing w:after="160" w:line="254" w:lineRule="auto"/>
      </w:pPr>
      <w:r w:rsidRPr="004C590A">
        <w:rPr>
          <w:b/>
          <w:bCs/>
        </w:rPr>
        <w:t>Le mix électrique français se transforme</w:t>
      </w:r>
      <w:r w:rsidRPr="004C590A">
        <w:t xml:space="preserve"> : montée des EnR, déclin relatif du nucléaire.</w:t>
      </w:r>
    </w:p>
    <w:p w14:paraId="2BF64078" w14:textId="77777777" w:rsidR="000C66D7" w:rsidRPr="004C590A" w:rsidRDefault="000C66D7" w:rsidP="000C66D7">
      <w:pPr>
        <w:widowControl/>
        <w:numPr>
          <w:ilvl w:val="0"/>
          <w:numId w:val="16"/>
        </w:numPr>
        <w:autoSpaceDE/>
        <w:spacing w:after="160" w:line="254" w:lineRule="auto"/>
      </w:pPr>
      <w:r w:rsidRPr="004C590A">
        <w:rPr>
          <w:b/>
          <w:bCs/>
        </w:rPr>
        <w:t>Les saisonnalités des différentes sources sont complémentaires</w:t>
      </w:r>
      <w:r w:rsidRPr="004C590A">
        <w:t>, ce qui plaide pour un mix diversifié.</w:t>
      </w:r>
    </w:p>
    <w:p w14:paraId="2113F2F8" w14:textId="77777777" w:rsidR="000C66D7" w:rsidRDefault="000C66D7" w:rsidP="000C66D7">
      <w:pPr>
        <w:widowControl/>
        <w:numPr>
          <w:ilvl w:val="0"/>
          <w:numId w:val="16"/>
        </w:numPr>
        <w:autoSpaceDE/>
        <w:spacing w:after="160" w:line="254" w:lineRule="auto"/>
      </w:pPr>
      <w:r w:rsidRPr="004C590A">
        <w:rPr>
          <w:b/>
          <w:bCs/>
        </w:rPr>
        <w:t>L'année 2022 marque un point de bascule</w:t>
      </w:r>
      <w:r w:rsidRPr="004C590A">
        <w:t xml:space="preserve"> : la France devient importatrice nette d'électricité pour la première fois depuis des décennies, en raison de la conjonction d'une </w:t>
      </w:r>
      <w:r w:rsidRPr="004C590A">
        <w:rPr>
          <w:b/>
          <w:bCs/>
        </w:rPr>
        <w:t>sécheresse</w:t>
      </w:r>
      <w:r w:rsidRPr="004C590A">
        <w:t xml:space="preserve"> (baisse hydraulique) et de la </w:t>
      </w:r>
      <w:r w:rsidRPr="004C590A">
        <w:rPr>
          <w:b/>
          <w:bCs/>
        </w:rPr>
        <w:t>crise du parc nucléaire</w:t>
      </w:r>
      <w:r w:rsidRPr="004C590A">
        <w:t>.</w:t>
      </w:r>
    </w:p>
    <w:p w14:paraId="155CD07D" w14:textId="77777777" w:rsidR="000C66D7" w:rsidRDefault="000C66D7" w:rsidP="000C66D7">
      <w:pPr>
        <w:pStyle w:val="Titre2"/>
        <w:numPr>
          <w:ilvl w:val="0"/>
          <w:numId w:val="16"/>
        </w:numPr>
        <w:tabs>
          <w:tab w:val="clear" w:pos="720"/>
        </w:tabs>
        <w:ind w:left="1080"/>
      </w:pPr>
      <w:bookmarkStart w:id="18" w:name="_Toc229338119"/>
      <w:r>
        <w:t>Le mix de production électrique français</w:t>
      </w:r>
      <w:bookmarkEnd w:id="18"/>
    </w:p>
    <w:p w14:paraId="24B70E53" w14:textId="77777777" w:rsidR="000C66D7" w:rsidRDefault="000C66D7" w:rsidP="000C66D7">
      <w:pPr>
        <w:pStyle w:val="Titre3"/>
        <w:ind w:firstLine="360"/>
      </w:pPr>
      <w:bookmarkStart w:id="19" w:name="_Toc229338120"/>
      <w:r>
        <w:t>4.1 Répartition moyenne par source</w:t>
      </w:r>
      <w:bookmarkEnd w:id="19"/>
      <w:r>
        <w:t xml:space="preserve"> </w:t>
      </w:r>
    </w:p>
    <w:p w14:paraId="1DAD417F" w14:textId="77777777" w:rsidR="000C66D7" w:rsidRDefault="000C66D7" w:rsidP="000C66D7">
      <w:r w:rsidRPr="00C51661">
        <w:rPr>
          <w:noProof/>
        </w:rPr>
        <w:drawing>
          <wp:inline distT="0" distB="0" distL="0" distR="0" wp14:anchorId="2A37B34A" wp14:editId="35E5E451">
            <wp:extent cx="5334462" cy="2987299"/>
            <wp:effectExtent l="0" t="0" r="0" b="3810"/>
            <wp:docPr id="1745777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7375" name=""/>
                    <pic:cNvPicPr/>
                  </pic:nvPicPr>
                  <pic:blipFill>
                    <a:blip r:embed="rId17"/>
                    <a:stretch>
                      <a:fillRect/>
                    </a:stretch>
                  </pic:blipFill>
                  <pic:spPr>
                    <a:xfrm>
                      <a:off x="0" y="0"/>
                      <a:ext cx="5334462" cy="2987299"/>
                    </a:xfrm>
                    <a:prstGeom prst="rect">
                      <a:avLst/>
                    </a:prstGeom>
                  </pic:spPr>
                </pic:pic>
              </a:graphicData>
            </a:graphic>
          </wp:inline>
        </w:drawing>
      </w:r>
    </w:p>
    <w:p w14:paraId="1AB67995" w14:textId="77777777" w:rsidR="000C66D7" w:rsidRDefault="000C66D7" w:rsidP="000C66D7">
      <w:r w:rsidRPr="001F64E8">
        <w:t xml:space="preserve">Pour quantifier la </w:t>
      </w:r>
      <w:r w:rsidRPr="001F64E8">
        <w:rPr>
          <w:b/>
          <w:bCs/>
        </w:rPr>
        <w:t>structure moyenne du mix électrique français</w:t>
      </w:r>
      <w:r w:rsidRPr="001F64E8">
        <w:t xml:space="preserve"> sur l'ensemble de la période étudiée, nous avons calculé la </w:t>
      </w:r>
      <w:r w:rsidRPr="001F64E8">
        <w:rPr>
          <w:b/>
          <w:bCs/>
        </w:rPr>
        <w:t>production moyenne mensuelle de chaque source</w:t>
      </w:r>
      <w:r w:rsidRPr="001F64E8">
        <w:t xml:space="preserve"> puis sa part en pourcentage du total.</w:t>
      </w:r>
    </w:p>
    <w:p w14:paraId="33E6151B" w14:textId="77777777" w:rsidR="000C66D7" w:rsidRDefault="000C66D7" w:rsidP="000C66D7"/>
    <w:p w14:paraId="39B94820" w14:textId="77777777" w:rsidR="000C66D7" w:rsidRDefault="000C66D7" w:rsidP="000C66D7"/>
    <w:p w14:paraId="623FD011" w14:textId="77777777" w:rsidR="000C66D7" w:rsidRDefault="000C66D7" w:rsidP="000C66D7"/>
    <w:p w14:paraId="2BD80D95" w14:textId="77777777" w:rsidR="000C66D7" w:rsidRDefault="000C66D7" w:rsidP="000C66D7"/>
    <w:p w14:paraId="4BC0E4DE" w14:textId="77777777" w:rsidR="000C66D7" w:rsidRDefault="000C66D7" w:rsidP="000C66D7"/>
    <w:p w14:paraId="529151C7" w14:textId="77777777" w:rsidR="000C66D7" w:rsidRDefault="000C66D7" w:rsidP="000C66D7"/>
    <w:p w14:paraId="5E5B785A" w14:textId="77777777" w:rsidR="000C66D7" w:rsidRDefault="000C66D7" w:rsidP="000C66D7"/>
    <w:p w14:paraId="06DEF5E5" w14:textId="77777777" w:rsidR="000C66D7" w:rsidRDefault="000C66D7" w:rsidP="000C66D7"/>
    <w:p w14:paraId="41D63661" w14:textId="77777777" w:rsidR="000C66D7" w:rsidRDefault="000C66D7" w:rsidP="000C66D7"/>
    <w:p w14:paraId="23E60368" w14:textId="77777777" w:rsidR="000C66D7" w:rsidRDefault="000C66D7" w:rsidP="000C66D7"/>
    <w:p w14:paraId="68B9DF54" w14:textId="77777777" w:rsidR="000C66D7" w:rsidRDefault="000C66D7" w:rsidP="000C66D7"/>
    <w:p w14:paraId="138D420E" w14:textId="77777777" w:rsidR="000C66D7" w:rsidRDefault="000C66D7" w:rsidP="000C66D7"/>
    <w:p w14:paraId="03E04ED1" w14:textId="77777777" w:rsidR="000C66D7" w:rsidRDefault="000C66D7" w:rsidP="000C66D7"/>
    <w:p w14:paraId="57C52486" w14:textId="77777777" w:rsidR="000C66D7" w:rsidRDefault="000C66D7" w:rsidP="000C66D7"/>
    <w:p w14:paraId="2A8EFC94" w14:textId="77777777" w:rsidR="000C66D7" w:rsidRDefault="000C66D7" w:rsidP="000C66D7"/>
    <w:p w14:paraId="2340EC25" w14:textId="77777777" w:rsidR="000C66D7" w:rsidRDefault="000C66D7" w:rsidP="000C66D7"/>
    <w:p w14:paraId="6F248E2E" w14:textId="77777777" w:rsidR="000C66D7" w:rsidRDefault="000C66D7" w:rsidP="000C66D7"/>
    <w:p w14:paraId="1846CF45" w14:textId="77777777" w:rsidR="000C66D7" w:rsidRDefault="000C66D7" w:rsidP="000C66D7"/>
    <w:tbl>
      <w:tblPr>
        <w:tblStyle w:val="Grilledutableau"/>
        <w:tblW w:w="0" w:type="dxa"/>
        <w:tblLook w:val="04A0" w:firstRow="1" w:lastRow="0" w:firstColumn="1" w:lastColumn="0" w:noHBand="0" w:noVBand="1"/>
      </w:tblPr>
      <w:tblGrid>
        <w:gridCol w:w="1643"/>
        <w:gridCol w:w="1500"/>
        <w:gridCol w:w="854"/>
      </w:tblGrid>
      <w:tr w:rsidR="000C66D7" w:rsidRPr="00666827" w14:paraId="4B6BFC3B" w14:textId="77777777" w:rsidTr="000158EE">
        <w:tc>
          <w:tcPr>
            <w:tcW w:w="0" w:type="dxa"/>
            <w:hideMark/>
          </w:tcPr>
          <w:p w14:paraId="656317CD" w14:textId="77777777" w:rsidR="000C66D7" w:rsidRPr="00666827" w:rsidRDefault="000C66D7" w:rsidP="000158EE">
            <w:pPr>
              <w:spacing w:after="160" w:line="254" w:lineRule="auto"/>
              <w:rPr>
                <w:b/>
                <w:bCs/>
              </w:rPr>
            </w:pPr>
            <w:r w:rsidRPr="00666827">
              <w:rPr>
                <w:b/>
                <w:bCs/>
              </w:rPr>
              <w:t>Source</w:t>
            </w:r>
          </w:p>
        </w:tc>
        <w:tc>
          <w:tcPr>
            <w:tcW w:w="0" w:type="dxa"/>
            <w:hideMark/>
          </w:tcPr>
          <w:p w14:paraId="25950909" w14:textId="77777777" w:rsidR="000C66D7" w:rsidRPr="00666827" w:rsidRDefault="000C66D7" w:rsidP="000158EE">
            <w:pPr>
              <w:spacing w:after="160" w:line="254" w:lineRule="auto"/>
              <w:rPr>
                <w:b/>
                <w:bCs/>
              </w:rPr>
            </w:pPr>
            <w:r w:rsidRPr="00666827">
              <w:rPr>
                <w:b/>
                <w:bCs/>
              </w:rPr>
              <w:t>Production moyenne mensuelle (GWh)</w:t>
            </w:r>
          </w:p>
        </w:tc>
        <w:tc>
          <w:tcPr>
            <w:tcW w:w="0" w:type="dxa"/>
            <w:hideMark/>
          </w:tcPr>
          <w:p w14:paraId="618877E2" w14:textId="77777777" w:rsidR="000C66D7" w:rsidRPr="00666827" w:rsidRDefault="000C66D7" w:rsidP="000158EE">
            <w:pPr>
              <w:spacing w:after="160" w:line="254" w:lineRule="auto"/>
              <w:rPr>
                <w:b/>
                <w:bCs/>
              </w:rPr>
            </w:pPr>
            <w:r w:rsidRPr="00666827">
              <w:rPr>
                <w:b/>
                <w:bCs/>
              </w:rPr>
              <w:t>Part du mix</w:t>
            </w:r>
          </w:p>
        </w:tc>
      </w:tr>
      <w:tr w:rsidR="000C66D7" w:rsidRPr="00666827" w14:paraId="46BCEE35" w14:textId="77777777" w:rsidTr="000158EE">
        <w:tc>
          <w:tcPr>
            <w:tcW w:w="0" w:type="dxa"/>
            <w:hideMark/>
          </w:tcPr>
          <w:p w14:paraId="08B84931" w14:textId="77777777" w:rsidR="000C66D7" w:rsidRPr="00666827" w:rsidRDefault="000C66D7" w:rsidP="000158EE">
            <w:pPr>
              <w:spacing w:after="160" w:line="254" w:lineRule="auto"/>
            </w:pPr>
            <w:r w:rsidRPr="00666827">
              <w:rPr>
                <w:b/>
                <w:bCs/>
              </w:rPr>
              <w:t>Nucléaire</w:t>
            </w:r>
            <w:r w:rsidRPr="00666827">
              <w:t xml:space="preserve"> </w:t>
            </w:r>
            <w:r w:rsidRPr="00666827">
              <w:rPr>
                <w:i/>
                <w:iCs/>
              </w:rPr>
              <w:t>(équivalent élec.</w:t>
            </w:r>
            <w:r>
              <w:rPr>
                <w:i/>
                <w:iCs/>
              </w:rPr>
              <w:t xml:space="preserve"> Voir 1.2</w:t>
            </w:r>
            <w:r w:rsidRPr="00666827">
              <w:rPr>
                <w:i/>
                <w:iCs/>
              </w:rPr>
              <w:t>)</w:t>
            </w:r>
          </w:p>
        </w:tc>
        <w:tc>
          <w:tcPr>
            <w:tcW w:w="0" w:type="dxa"/>
            <w:hideMark/>
          </w:tcPr>
          <w:p w14:paraId="20DC838A" w14:textId="77777777" w:rsidR="000C66D7" w:rsidRPr="00666827" w:rsidRDefault="000C66D7" w:rsidP="000158EE">
            <w:pPr>
              <w:spacing w:after="160" w:line="254" w:lineRule="auto"/>
            </w:pPr>
            <w:r w:rsidRPr="00666827">
              <w:t>~34 537</w:t>
            </w:r>
          </w:p>
        </w:tc>
        <w:tc>
          <w:tcPr>
            <w:tcW w:w="0" w:type="dxa"/>
            <w:hideMark/>
          </w:tcPr>
          <w:p w14:paraId="46AF1B73" w14:textId="77777777" w:rsidR="000C66D7" w:rsidRPr="00666827" w:rsidRDefault="000C66D7" w:rsidP="000158EE">
            <w:pPr>
              <w:spacing w:after="160" w:line="254" w:lineRule="auto"/>
            </w:pPr>
            <w:r w:rsidRPr="00666827">
              <w:rPr>
                <w:b/>
                <w:bCs/>
              </w:rPr>
              <w:t>~82 %</w:t>
            </w:r>
          </w:p>
        </w:tc>
      </w:tr>
      <w:tr w:rsidR="000C66D7" w:rsidRPr="00666827" w14:paraId="63B234EB" w14:textId="77777777" w:rsidTr="000158EE">
        <w:tc>
          <w:tcPr>
            <w:tcW w:w="0" w:type="dxa"/>
            <w:hideMark/>
          </w:tcPr>
          <w:p w14:paraId="590B4284" w14:textId="77777777" w:rsidR="000C66D7" w:rsidRPr="00666827" w:rsidRDefault="000C66D7" w:rsidP="000158EE">
            <w:pPr>
              <w:spacing w:after="160" w:line="254" w:lineRule="auto"/>
            </w:pPr>
            <w:r w:rsidRPr="00666827">
              <w:rPr>
                <w:b/>
                <w:bCs/>
              </w:rPr>
              <w:t>Hydraulique</w:t>
            </w:r>
          </w:p>
        </w:tc>
        <w:tc>
          <w:tcPr>
            <w:tcW w:w="0" w:type="dxa"/>
            <w:hideMark/>
          </w:tcPr>
          <w:p w14:paraId="2003A4F0" w14:textId="77777777" w:rsidR="000C66D7" w:rsidRPr="00666827" w:rsidRDefault="000C66D7" w:rsidP="000158EE">
            <w:pPr>
              <w:spacing w:after="160" w:line="254" w:lineRule="auto"/>
            </w:pPr>
            <w:r w:rsidRPr="00666827">
              <w:t>~5 285</w:t>
            </w:r>
          </w:p>
        </w:tc>
        <w:tc>
          <w:tcPr>
            <w:tcW w:w="0" w:type="dxa"/>
            <w:hideMark/>
          </w:tcPr>
          <w:p w14:paraId="46DB3CA4" w14:textId="77777777" w:rsidR="000C66D7" w:rsidRPr="00666827" w:rsidRDefault="000C66D7" w:rsidP="000158EE">
            <w:pPr>
              <w:spacing w:after="160" w:line="254" w:lineRule="auto"/>
            </w:pPr>
            <w:r w:rsidRPr="00666827">
              <w:rPr>
                <w:b/>
                <w:bCs/>
              </w:rPr>
              <w:t>~12,5 %</w:t>
            </w:r>
          </w:p>
        </w:tc>
      </w:tr>
      <w:tr w:rsidR="000C66D7" w:rsidRPr="00666827" w14:paraId="171CC1EB" w14:textId="77777777" w:rsidTr="000158EE">
        <w:tc>
          <w:tcPr>
            <w:tcW w:w="0" w:type="dxa"/>
            <w:hideMark/>
          </w:tcPr>
          <w:p w14:paraId="46A5174D" w14:textId="77777777" w:rsidR="000C66D7" w:rsidRPr="00666827" w:rsidRDefault="000C66D7" w:rsidP="000158EE">
            <w:pPr>
              <w:spacing w:after="160" w:line="254" w:lineRule="auto"/>
            </w:pPr>
            <w:r w:rsidRPr="00666827">
              <w:rPr>
                <w:b/>
                <w:bCs/>
              </w:rPr>
              <w:t>Éolien</w:t>
            </w:r>
          </w:p>
        </w:tc>
        <w:tc>
          <w:tcPr>
            <w:tcW w:w="0" w:type="dxa"/>
            <w:hideMark/>
          </w:tcPr>
          <w:p w14:paraId="467BCF72" w14:textId="77777777" w:rsidR="000C66D7" w:rsidRPr="00666827" w:rsidRDefault="000C66D7" w:rsidP="000158EE">
            <w:pPr>
              <w:spacing w:after="160" w:line="254" w:lineRule="auto"/>
            </w:pPr>
            <w:r w:rsidRPr="00666827">
              <w:t>~1 597</w:t>
            </w:r>
          </w:p>
        </w:tc>
        <w:tc>
          <w:tcPr>
            <w:tcW w:w="0" w:type="dxa"/>
            <w:hideMark/>
          </w:tcPr>
          <w:p w14:paraId="16D22687" w14:textId="77777777" w:rsidR="000C66D7" w:rsidRPr="00666827" w:rsidRDefault="000C66D7" w:rsidP="000158EE">
            <w:pPr>
              <w:spacing w:after="160" w:line="254" w:lineRule="auto"/>
            </w:pPr>
            <w:r w:rsidRPr="00666827">
              <w:rPr>
                <w:b/>
                <w:bCs/>
              </w:rPr>
              <w:t>~3,8 %</w:t>
            </w:r>
          </w:p>
        </w:tc>
      </w:tr>
      <w:tr w:rsidR="000C66D7" w:rsidRPr="00666827" w14:paraId="37004CD9" w14:textId="77777777" w:rsidTr="000158EE">
        <w:tc>
          <w:tcPr>
            <w:tcW w:w="0" w:type="dxa"/>
            <w:hideMark/>
          </w:tcPr>
          <w:p w14:paraId="454802AD" w14:textId="77777777" w:rsidR="000C66D7" w:rsidRPr="00666827" w:rsidRDefault="000C66D7" w:rsidP="000158EE">
            <w:pPr>
              <w:spacing w:after="160" w:line="254" w:lineRule="auto"/>
            </w:pPr>
            <w:r w:rsidRPr="00666827">
              <w:rPr>
                <w:b/>
                <w:bCs/>
              </w:rPr>
              <w:t>Solaire</w:t>
            </w:r>
          </w:p>
        </w:tc>
        <w:tc>
          <w:tcPr>
            <w:tcW w:w="0" w:type="dxa"/>
            <w:hideMark/>
          </w:tcPr>
          <w:p w14:paraId="769B8A6D" w14:textId="77777777" w:rsidR="000C66D7" w:rsidRPr="00666827" w:rsidRDefault="000C66D7" w:rsidP="000158EE">
            <w:pPr>
              <w:spacing w:after="160" w:line="254" w:lineRule="auto"/>
            </w:pPr>
            <w:r w:rsidRPr="00666827">
              <w:t>~753</w:t>
            </w:r>
          </w:p>
        </w:tc>
        <w:tc>
          <w:tcPr>
            <w:tcW w:w="0" w:type="dxa"/>
            <w:hideMark/>
          </w:tcPr>
          <w:p w14:paraId="481A60CC" w14:textId="77777777" w:rsidR="000C66D7" w:rsidRPr="00666827" w:rsidRDefault="000C66D7" w:rsidP="000158EE">
            <w:pPr>
              <w:spacing w:after="160" w:line="254" w:lineRule="auto"/>
            </w:pPr>
            <w:r w:rsidRPr="00666827">
              <w:rPr>
                <w:b/>
                <w:bCs/>
              </w:rPr>
              <w:t>~1,8 %</w:t>
            </w:r>
          </w:p>
        </w:tc>
      </w:tr>
      <w:tr w:rsidR="000C66D7" w:rsidRPr="00666827" w14:paraId="358B2D83" w14:textId="77777777" w:rsidTr="000158EE">
        <w:tc>
          <w:tcPr>
            <w:tcW w:w="0" w:type="dxa"/>
            <w:hideMark/>
          </w:tcPr>
          <w:p w14:paraId="2190F966" w14:textId="77777777" w:rsidR="000C66D7" w:rsidRPr="00666827" w:rsidRDefault="000C66D7" w:rsidP="000158EE">
            <w:pPr>
              <w:spacing w:after="160" w:line="254" w:lineRule="auto"/>
            </w:pPr>
            <w:r w:rsidRPr="00666827">
              <w:rPr>
                <w:b/>
                <w:bCs/>
              </w:rPr>
              <w:t>Total</w:t>
            </w:r>
          </w:p>
        </w:tc>
        <w:tc>
          <w:tcPr>
            <w:tcW w:w="0" w:type="dxa"/>
            <w:hideMark/>
          </w:tcPr>
          <w:p w14:paraId="51BC8C5B" w14:textId="77777777" w:rsidR="000C66D7" w:rsidRPr="00666827" w:rsidRDefault="000C66D7" w:rsidP="000158EE">
            <w:pPr>
              <w:spacing w:after="160" w:line="254" w:lineRule="auto"/>
            </w:pPr>
            <w:r w:rsidRPr="00666827">
              <w:t>~42 172</w:t>
            </w:r>
          </w:p>
        </w:tc>
        <w:tc>
          <w:tcPr>
            <w:tcW w:w="0" w:type="dxa"/>
            <w:hideMark/>
          </w:tcPr>
          <w:p w14:paraId="496151C7" w14:textId="737AAD71" w:rsidR="000C66D7" w:rsidRPr="00666827" w:rsidRDefault="000C66D7" w:rsidP="000158EE">
            <w:pPr>
              <w:spacing w:after="160" w:line="254" w:lineRule="auto"/>
            </w:pPr>
            <w:r w:rsidRPr="00666827">
              <w:rPr>
                <w:b/>
                <w:bCs/>
              </w:rPr>
              <w:t>100 %</w:t>
            </w:r>
          </w:p>
        </w:tc>
      </w:tr>
    </w:tbl>
    <w:p w14:paraId="375DDBD9" w14:textId="77777777" w:rsidR="000C66D7" w:rsidRPr="005A6367" w:rsidRDefault="000C66D7" w:rsidP="000C66D7"/>
    <w:p w14:paraId="26C7E4D5" w14:textId="77777777" w:rsidR="000C66D7" w:rsidRPr="005A6367" w:rsidRDefault="000C66D7" w:rsidP="000C66D7"/>
    <w:p w14:paraId="5DA2806A" w14:textId="77777777" w:rsidR="000C66D7" w:rsidRDefault="000C66D7" w:rsidP="000C66D7">
      <w:r w:rsidRPr="001B1735">
        <w:t>Le camembert met en évidence trois éléments majeurs :</w:t>
      </w:r>
    </w:p>
    <w:p w14:paraId="3E2555D3" w14:textId="77777777" w:rsidR="000C66D7" w:rsidRDefault="000C66D7" w:rsidP="000C66D7">
      <w:pPr>
        <w:pStyle w:val="Paragraphedeliste"/>
        <w:widowControl/>
        <w:numPr>
          <w:ilvl w:val="0"/>
          <w:numId w:val="17"/>
        </w:numPr>
        <w:autoSpaceDE/>
        <w:spacing w:after="160" w:line="254" w:lineRule="auto"/>
      </w:pPr>
      <w:r w:rsidRPr="00293DBE">
        <w:rPr>
          <w:b/>
          <w:bCs/>
        </w:rPr>
        <w:t>La domination écrasante du nucléaire</w:t>
      </w:r>
      <w:r w:rsidRPr="00293DBE">
        <w:t xml:space="preserve"> (~82 % en moyenne), qui constitue le </w:t>
      </w:r>
      <w:r w:rsidRPr="00293DBE">
        <w:rPr>
          <w:b/>
          <w:bCs/>
        </w:rPr>
        <w:t>socle historique</w:t>
      </w:r>
      <w:r w:rsidRPr="00293DBE">
        <w:t xml:space="preserve"> du système électrique français. Cette </w:t>
      </w:r>
      <w:r w:rsidRPr="00293DBE">
        <w:lastRenderedPageBreak/>
        <w:t>singularité — unique en Europe — découle des choix énergétiques effectués dans les années 1970-1980 (plan Messmer).</w:t>
      </w:r>
    </w:p>
    <w:p w14:paraId="395A4809" w14:textId="77777777" w:rsidR="000C66D7" w:rsidRDefault="000C66D7" w:rsidP="000C66D7">
      <w:pPr>
        <w:pStyle w:val="Paragraphedeliste"/>
        <w:widowControl/>
        <w:numPr>
          <w:ilvl w:val="0"/>
          <w:numId w:val="17"/>
        </w:numPr>
        <w:autoSpaceDE/>
        <w:spacing w:after="160" w:line="254" w:lineRule="auto"/>
      </w:pPr>
      <w:r w:rsidRPr="00293DBE">
        <w:rPr>
          <w:b/>
          <w:bCs/>
        </w:rPr>
        <w:t>L'hydraulique en deuxième position</w:t>
      </w:r>
      <w:r w:rsidRPr="00293DBE">
        <w:t xml:space="preserve"> (~12,5 %), source renouvelable historique reposant sur les </w:t>
      </w:r>
      <w:r w:rsidRPr="00293DBE">
        <w:rPr>
          <w:b/>
          <w:bCs/>
        </w:rPr>
        <w:t>barrages alpins, pyrénéens et du Massif central</w:t>
      </w:r>
      <w:r w:rsidRPr="00293DBE">
        <w:t>.</w:t>
      </w:r>
    </w:p>
    <w:p w14:paraId="578A4694" w14:textId="77777777" w:rsidR="000C66D7" w:rsidRDefault="000C66D7" w:rsidP="000C66D7">
      <w:pPr>
        <w:pStyle w:val="NormalWeb"/>
        <w:numPr>
          <w:ilvl w:val="0"/>
          <w:numId w:val="17"/>
        </w:numPr>
        <w:rPr>
          <w:rFonts w:ascii="Calibri" w:hAnsi="Calibri" w:cs="Calibri"/>
          <w:sz w:val="28"/>
          <w:szCs w:val="28"/>
        </w:rPr>
      </w:pPr>
      <w:r w:rsidRPr="00052CD5">
        <w:rPr>
          <w:rStyle w:val="lev"/>
          <w:rFonts w:ascii="Calibri" w:hAnsi="Calibri" w:cs="Calibri"/>
          <w:sz w:val="28"/>
          <w:szCs w:val="28"/>
        </w:rPr>
        <w:t>L'éolien et le solaire restent minoritaires en moyenne</w:t>
      </w:r>
      <w:r w:rsidRPr="00052CD5">
        <w:rPr>
          <w:rFonts w:ascii="Calibri" w:hAnsi="Calibri" w:cs="Calibri"/>
          <w:sz w:val="28"/>
          <w:szCs w:val="28"/>
        </w:rPr>
        <w:t xml:space="preserve"> (~5,6 % cumulés), mais cette moyenne </w:t>
      </w:r>
      <w:r w:rsidRPr="00052CD5">
        <w:rPr>
          <w:rStyle w:val="lev"/>
          <w:rFonts w:ascii="Calibri" w:hAnsi="Calibri" w:cs="Calibri"/>
          <w:sz w:val="28"/>
          <w:szCs w:val="28"/>
        </w:rPr>
        <w:t>masque leur forte croissance récente</w:t>
      </w:r>
      <w:r w:rsidRPr="00052CD5">
        <w:rPr>
          <w:rFonts w:ascii="Calibri" w:hAnsi="Calibri" w:cs="Calibri"/>
          <w:sz w:val="28"/>
          <w:szCs w:val="28"/>
        </w:rPr>
        <w:t xml:space="preserve"> (cf. section 3). Si l'on calculait la part moyenne </w:t>
      </w:r>
      <w:r w:rsidRPr="00052CD5">
        <w:rPr>
          <w:rStyle w:val="lev"/>
          <w:rFonts w:ascii="Calibri" w:hAnsi="Calibri" w:cs="Calibri"/>
          <w:sz w:val="28"/>
          <w:szCs w:val="28"/>
        </w:rPr>
        <w:t>uniquement sur 2020-2022</w:t>
      </w:r>
      <w:r w:rsidRPr="00052CD5">
        <w:rPr>
          <w:rFonts w:ascii="Calibri" w:hAnsi="Calibri" w:cs="Calibri"/>
          <w:sz w:val="28"/>
          <w:szCs w:val="28"/>
        </w:rPr>
        <w:t xml:space="preserve">, l'éolien et le solaire dépasseraient les </w:t>
      </w:r>
      <w:r w:rsidRPr="00052CD5">
        <w:rPr>
          <w:rStyle w:val="lev"/>
          <w:rFonts w:ascii="Calibri" w:hAnsi="Calibri" w:cs="Calibri"/>
          <w:sz w:val="28"/>
          <w:szCs w:val="28"/>
        </w:rPr>
        <w:t>10 %</w:t>
      </w:r>
      <w:r w:rsidRPr="00052CD5">
        <w:rPr>
          <w:rFonts w:ascii="Calibri" w:hAnsi="Calibri" w:cs="Calibri"/>
          <w:sz w:val="28"/>
          <w:szCs w:val="28"/>
        </w:rPr>
        <w:t xml:space="preserve"> du mix.</w:t>
      </w:r>
    </w:p>
    <w:p w14:paraId="6EC27647" w14:textId="77777777" w:rsidR="000C66D7" w:rsidRDefault="000C66D7" w:rsidP="000C66D7">
      <w:pPr>
        <w:pStyle w:val="Titre3"/>
      </w:pPr>
      <w:bookmarkStart w:id="20" w:name="_Toc229338121"/>
      <w:r>
        <w:t>4.2 Mise en perspective : un mix bas-carbone</w:t>
      </w:r>
      <w:bookmarkEnd w:id="20"/>
    </w:p>
    <w:p w14:paraId="35406BD1" w14:textId="77777777" w:rsidR="000C66D7" w:rsidRDefault="000C66D7" w:rsidP="000C66D7">
      <w:r w:rsidRPr="000D0C2B">
        <w:t xml:space="preserve">Au-delà des chiffres, ce mix présente une caractéristique structurelle remarquable : </w:t>
      </w:r>
      <w:r w:rsidRPr="000D0C2B">
        <w:rPr>
          <w:b/>
          <w:bCs/>
        </w:rPr>
        <w:t>plus de 95 % de l'électricité produite en France est décarbonée</w:t>
      </w:r>
      <w:r w:rsidRPr="000D0C2B">
        <w:t xml:space="preserve"> (nucléaire + hydraulique + éolien + solaire), ce qui place la France parmi les pays européens </w:t>
      </w:r>
      <w:r w:rsidRPr="000D0C2B">
        <w:rPr>
          <w:b/>
          <w:bCs/>
        </w:rPr>
        <w:t>les moins émetteurs de CO2 par kWh produit</w:t>
      </w:r>
      <w:r w:rsidRPr="000D0C2B">
        <w:t>. Ce constat est essentiel pour les analyses ultérieures sur les émissions et la consommation énergétique globale (parties B et C).</w:t>
      </w:r>
    </w:p>
    <w:p w14:paraId="03750BAB" w14:textId="77777777" w:rsidR="000C66D7" w:rsidRDefault="000C66D7" w:rsidP="000C66D7">
      <w:pPr>
        <w:pStyle w:val="Titre2"/>
        <w:numPr>
          <w:ilvl w:val="0"/>
          <w:numId w:val="16"/>
        </w:numPr>
        <w:tabs>
          <w:tab w:val="clear" w:pos="720"/>
        </w:tabs>
        <w:ind w:left="1080"/>
      </w:pPr>
      <w:bookmarkStart w:id="21" w:name="_Toc229338122"/>
      <w:r>
        <w:t>Conclusion de la Partie A</w:t>
      </w:r>
      <w:bookmarkEnd w:id="21"/>
    </w:p>
    <w:p w14:paraId="3C4D5153" w14:textId="77777777" w:rsidR="000C66D7" w:rsidRDefault="000C66D7" w:rsidP="000C66D7">
      <w:r w:rsidRPr="008021F9">
        <w:t xml:space="preserve">L'analyse statistique de la production électrique française entre </w:t>
      </w:r>
      <w:r w:rsidRPr="008021F9">
        <w:rPr>
          <w:b/>
          <w:bCs/>
        </w:rPr>
        <w:t>2006 et 2022</w:t>
      </w:r>
      <w:r w:rsidRPr="008021F9">
        <w:t xml:space="preserve"> a permis de mettre en évidence </w:t>
      </w:r>
      <w:r>
        <w:rPr>
          <w:b/>
          <w:bCs/>
        </w:rPr>
        <w:t>quatre</w:t>
      </w:r>
      <w:r w:rsidRPr="008021F9">
        <w:rPr>
          <w:b/>
          <w:bCs/>
        </w:rPr>
        <w:t xml:space="preserve"> grands enseignements</w:t>
      </w:r>
      <w:r w:rsidRPr="008021F9">
        <w:t xml:space="preserve"> :</w:t>
      </w:r>
    </w:p>
    <w:p w14:paraId="7D35AB73" w14:textId="77777777" w:rsidR="000C66D7" w:rsidRDefault="000C66D7" w:rsidP="000C66D7"/>
    <w:p w14:paraId="0EFF53DD" w14:textId="77777777" w:rsidR="000C66D7" w:rsidRDefault="000C66D7" w:rsidP="000C66D7">
      <w:pPr>
        <w:pStyle w:val="Paragraphedeliste"/>
        <w:widowControl/>
        <w:numPr>
          <w:ilvl w:val="0"/>
          <w:numId w:val="18"/>
        </w:numPr>
        <w:autoSpaceDE/>
        <w:spacing w:after="160" w:line="254" w:lineRule="auto"/>
      </w:pPr>
      <w:r w:rsidRPr="00DF347E">
        <w:t>Un mix électrique historiquement dominé par le nucléaire</w:t>
      </w:r>
      <w:r>
        <w:t xml:space="preserve"> : </w:t>
      </w:r>
      <w:r w:rsidRPr="005113A1">
        <w:t xml:space="preserve">Avec environ </w:t>
      </w:r>
      <w:r w:rsidRPr="005113A1">
        <w:rPr>
          <w:b/>
          <w:bCs/>
        </w:rPr>
        <w:t>82 % de la production moyenne</w:t>
      </w:r>
      <w:r w:rsidRPr="005113A1">
        <w:t xml:space="preserve">, le nucléaire constitue le pilier du système électrique français. L'hydraulique apporte un complément stable (~12,5 %), tandis que les énergies éolienne et solaire, bien qu'en forte croissance, ne pesaient encore qu'environ </w:t>
      </w:r>
      <w:r w:rsidRPr="005113A1">
        <w:rPr>
          <w:b/>
          <w:bCs/>
        </w:rPr>
        <w:t>5,6 %</w:t>
      </w:r>
      <w:r w:rsidRPr="005113A1">
        <w:t xml:space="preserve"> sur la moyenne de la période.</w:t>
      </w:r>
    </w:p>
    <w:p w14:paraId="74410D23" w14:textId="77777777" w:rsidR="000C66D7" w:rsidRDefault="000C66D7" w:rsidP="000C66D7">
      <w:pPr>
        <w:pStyle w:val="Paragraphedeliste"/>
      </w:pPr>
    </w:p>
    <w:p w14:paraId="7EA1FF55" w14:textId="77777777" w:rsidR="000C66D7" w:rsidRPr="00316B91" w:rsidRDefault="000C66D7" w:rsidP="000C66D7">
      <w:pPr>
        <w:pStyle w:val="Paragraphedeliste"/>
        <w:widowControl/>
        <w:numPr>
          <w:ilvl w:val="0"/>
          <w:numId w:val="18"/>
        </w:numPr>
        <w:autoSpaceDE/>
        <w:spacing w:after="160" w:line="254" w:lineRule="auto"/>
      </w:pPr>
      <w:r w:rsidRPr="00DF347E">
        <w:t>Une transformation progressive sous l'effet de la transition énergétique</w:t>
      </w:r>
      <w:r>
        <w:t xml:space="preserve"> : </w:t>
      </w:r>
      <w:r w:rsidRPr="00316B91">
        <w:t xml:space="preserve">Les analyses temporelles (section 3) révèlent une </w:t>
      </w:r>
      <w:r w:rsidRPr="00316B91">
        <w:rPr>
          <w:b/>
          <w:bCs/>
        </w:rPr>
        <w:t>dynamique nette</w:t>
      </w:r>
      <w:r w:rsidRPr="00316B91">
        <w:t xml:space="preserve"> :</w:t>
      </w:r>
    </w:p>
    <w:p w14:paraId="27CD5764" w14:textId="77777777" w:rsidR="000C66D7" w:rsidRPr="00316B91" w:rsidRDefault="000C66D7" w:rsidP="000C66D7">
      <w:pPr>
        <w:pStyle w:val="Paragraphedeliste"/>
      </w:pPr>
      <w:r w:rsidRPr="00316B91">
        <w:t xml:space="preserve">L'éolien a vu sa production </w:t>
      </w:r>
      <w:r w:rsidRPr="00316B91">
        <w:rPr>
          <w:b/>
          <w:bCs/>
        </w:rPr>
        <w:t>multipliée par 17</w:t>
      </w:r>
      <w:r w:rsidRPr="00316B91">
        <w:t xml:space="preserve"> entre 2006 et 2022.</w:t>
      </w:r>
    </w:p>
    <w:p w14:paraId="0B9E6662" w14:textId="77777777" w:rsidR="000C66D7" w:rsidRPr="00316B91" w:rsidRDefault="000C66D7" w:rsidP="000C66D7">
      <w:pPr>
        <w:pStyle w:val="Paragraphedeliste"/>
      </w:pPr>
      <w:r w:rsidRPr="00316B91">
        <w:t xml:space="preserve">Le solaire, parti de zéro en 2010, a atteint </w:t>
      </w:r>
      <w:r w:rsidRPr="00316B91">
        <w:rPr>
          <w:b/>
          <w:bCs/>
        </w:rPr>
        <w:t>près de 1 600 GWh mensuels</w:t>
      </w:r>
      <w:r w:rsidRPr="00316B91">
        <w:t xml:space="preserve"> </w:t>
      </w:r>
      <w:r>
        <w:t>en</w:t>
      </w:r>
      <w:r w:rsidRPr="00316B91">
        <w:t xml:space="preserve"> fin de période.</w:t>
      </w:r>
    </w:p>
    <w:p w14:paraId="56CA62EA" w14:textId="77777777" w:rsidR="000C66D7" w:rsidRPr="00316B91" w:rsidRDefault="000C66D7" w:rsidP="000C66D7">
      <w:pPr>
        <w:pStyle w:val="Paragraphedeliste"/>
      </w:pPr>
      <w:r w:rsidRPr="00316B91">
        <w:t xml:space="preserve">À l'inverse, la </w:t>
      </w:r>
      <w:r w:rsidRPr="00316B91">
        <w:rPr>
          <w:b/>
          <w:bCs/>
        </w:rPr>
        <w:t>production nucléaire a chuté d'environ 35 %</w:t>
      </w:r>
      <w:r w:rsidRPr="00316B91">
        <w:t>, marquant la fin d'une ère de production stable et abondante.</w:t>
      </w:r>
    </w:p>
    <w:p w14:paraId="2D419662" w14:textId="77777777" w:rsidR="000C66D7" w:rsidRDefault="000C66D7" w:rsidP="000C66D7">
      <w:pPr>
        <w:pStyle w:val="Paragraphedeliste"/>
      </w:pPr>
    </w:p>
    <w:p w14:paraId="4832EC3E" w14:textId="77777777" w:rsidR="000C66D7" w:rsidRDefault="000C66D7" w:rsidP="000C66D7">
      <w:pPr>
        <w:pStyle w:val="Paragraphedeliste"/>
        <w:widowControl/>
        <w:numPr>
          <w:ilvl w:val="0"/>
          <w:numId w:val="18"/>
        </w:numPr>
        <w:autoSpaceDE/>
        <w:spacing w:after="160" w:line="254" w:lineRule="auto"/>
      </w:pPr>
      <w:r w:rsidRPr="00DF347E">
        <w:t>Des saisonnalités contrastées mais complémentaires</w:t>
      </w:r>
      <w:r>
        <w:t xml:space="preserve"> : </w:t>
      </w:r>
    </w:p>
    <w:p w14:paraId="649DDAAA" w14:textId="77777777" w:rsidR="000C66D7" w:rsidRPr="00404CB1" w:rsidRDefault="000C66D7" w:rsidP="000C66D7">
      <w:pPr>
        <w:ind w:firstLine="708"/>
      </w:pPr>
      <w:r w:rsidRPr="00404CB1">
        <w:lastRenderedPageBreak/>
        <w:t>Chaque source présente sa propre signature saisonnière :</w:t>
      </w:r>
    </w:p>
    <w:p w14:paraId="16DAAB4A" w14:textId="77777777" w:rsidR="000C66D7" w:rsidRPr="00404CB1" w:rsidRDefault="000C66D7" w:rsidP="000C66D7">
      <w:pPr>
        <w:pStyle w:val="Paragraphedeliste"/>
        <w:widowControl/>
        <w:numPr>
          <w:ilvl w:val="0"/>
          <w:numId w:val="20"/>
        </w:numPr>
        <w:autoSpaceDE/>
        <w:spacing w:after="160" w:line="254" w:lineRule="auto"/>
      </w:pPr>
      <w:r w:rsidRPr="00076967">
        <w:rPr>
          <w:b/>
          <w:bCs/>
        </w:rPr>
        <w:t>Hydraulique</w:t>
      </w:r>
      <w:r w:rsidRPr="00404CB1">
        <w:t xml:space="preserve"> : pic au printemps (fonte des neiges)</w:t>
      </w:r>
    </w:p>
    <w:p w14:paraId="5DE9EF34" w14:textId="77777777" w:rsidR="000C66D7" w:rsidRPr="00404CB1" w:rsidRDefault="000C66D7" w:rsidP="000C66D7">
      <w:pPr>
        <w:pStyle w:val="Paragraphedeliste"/>
        <w:widowControl/>
        <w:numPr>
          <w:ilvl w:val="0"/>
          <w:numId w:val="20"/>
        </w:numPr>
        <w:autoSpaceDE/>
        <w:spacing w:after="160" w:line="254" w:lineRule="auto"/>
      </w:pPr>
      <w:r w:rsidRPr="00076967">
        <w:rPr>
          <w:b/>
          <w:bCs/>
        </w:rPr>
        <w:t>Éolien</w:t>
      </w:r>
      <w:r w:rsidRPr="00404CB1">
        <w:t xml:space="preserve"> : pic en hiver (vents forts)</w:t>
      </w:r>
    </w:p>
    <w:p w14:paraId="728A7601" w14:textId="77777777" w:rsidR="000C66D7" w:rsidRPr="00404CB1" w:rsidRDefault="000C66D7" w:rsidP="000C66D7">
      <w:pPr>
        <w:pStyle w:val="Paragraphedeliste"/>
        <w:widowControl/>
        <w:numPr>
          <w:ilvl w:val="0"/>
          <w:numId w:val="20"/>
        </w:numPr>
        <w:autoSpaceDE/>
        <w:spacing w:after="160" w:line="254" w:lineRule="auto"/>
      </w:pPr>
      <w:r w:rsidRPr="00076967">
        <w:rPr>
          <w:b/>
          <w:bCs/>
        </w:rPr>
        <w:t>Solaire</w:t>
      </w:r>
      <w:r w:rsidRPr="00404CB1">
        <w:t xml:space="preserve"> : pic en été (ensoleillement)</w:t>
      </w:r>
    </w:p>
    <w:p w14:paraId="44DDF594" w14:textId="77777777" w:rsidR="000C66D7" w:rsidRPr="00404CB1" w:rsidRDefault="000C66D7" w:rsidP="000C66D7">
      <w:pPr>
        <w:pStyle w:val="Paragraphedeliste"/>
        <w:widowControl/>
        <w:numPr>
          <w:ilvl w:val="0"/>
          <w:numId w:val="20"/>
        </w:numPr>
        <w:autoSpaceDE/>
        <w:spacing w:after="160" w:line="254" w:lineRule="auto"/>
      </w:pPr>
      <w:r w:rsidRPr="00076967">
        <w:rPr>
          <w:b/>
          <w:bCs/>
        </w:rPr>
        <w:t>Nucléaire</w:t>
      </w:r>
      <w:r w:rsidRPr="00404CB1">
        <w:t xml:space="preserve"> : creux en été (maintenance)</w:t>
      </w:r>
    </w:p>
    <w:p w14:paraId="12231A4A" w14:textId="77777777" w:rsidR="000C66D7" w:rsidRPr="00404CB1" w:rsidRDefault="000C66D7" w:rsidP="000C66D7">
      <w:pPr>
        <w:pStyle w:val="Paragraphedeliste"/>
        <w:widowControl/>
        <w:numPr>
          <w:ilvl w:val="0"/>
          <w:numId w:val="20"/>
        </w:numPr>
        <w:autoSpaceDE/>
        <w:spacing w:after="160" w:line="254" w:lineRule="auto"/>
      </w:pPr>
      <w:r w:rsidRPr="00404CB1">
        <w:t xml:space="preserve">Cette </w:t>
      </w:r>
      <w:r w:rsidRPr="00076967">
        <w:rPr>
          <w:b/>
          <w:bCs/>
        </w:rPr>
        <w:t>complémentarité naturelle</w:t>
      </w:r>
      <w:r w:rsidRPr="00404CB1">
        <w:t xml:space="preserve"> entre les sources est un atout pour la </w:t>
      </w:r>
      <w:r w:rsidRPr="00076967">
        <w:rPr>
          <w:b/>
          <w:bCs/>
        </w:rPr>
        <w:t>stabilité du mix</w:t>
      </w:r>
      <w:r w:rsidRPr="00404CB1">
        <w:t xml:space="preserve"> et la sécurité d'approvisionnement.</w:t>
      </w:r>
    </w:p>
    <w:p w14:paraId="67B45575" w14:textId="77777777" w:rsidR="000C66D7" w:rsidRDefault="000C66D7" w:rsidP="000C66D7">
      <w:pPr>
        <w:pStyle w:val="Paragraphedeliste"/>
      </w:pPr>
    </w:p>
    <w:p w14:paraId="0C3F5BC6" w14:textId="77777777" w:rsidR="000C66D7" w:rsidRDefault="000C66D7" w:rsidP="000C66D7">
      <w:pPr>
        <w:pStyle w:val="Paragraphedeliste"/>
        <w:widowControl/>
        <w:numPr>
          <w:ilvl w:val="0"/>
          <w:numId w:val="18"/>
        </w:numPr>
        <w:autoSpaceDE/>
        <w:spacing w:after="160" w:line="254" w:lineRule="auto"/>
      </w:pPr>
      <w:r w:rsidRPr="00793B46">
        <w:t>L'année 2022 : un point de bascule</w:t>
      </w:r>
      <w:r>
        <w:t> :</w:t>
      </w:r>
    </w:p>
    <w:p w14:paraId="75B06E7A" w14:textId="77777777" w:rsidR="000C66D7" w:rsidRPr="00404CB1" w:rsidRDefault="000C66D7" w:rsidP="000C66D7">
      <w:pPr>
        <w:pStyle w:val="Paragraphedeliste"/>
      </w:pPr>
      <w:r w:rsidRPr="00404CB1">
        <w:t>Plusieurs indicateurs convergent en 2022 :</w:t>
      </w:r>
    </w:p>
    <w:p w14:paraId="0C8B3D54" w14:textId="77777777" w:rsidR="000C66D7" w:rsidRPr="00404CB1" w:rsidRDefault="000C66D7" w:rsidP="000C66D7">
      <w:pPr>
        <w:pStyle w:val="Paragraphedeliste"/>
        <w:widowControl/>
        <w:numPr>
          <w:ilvl w:val="0"/>
          <w:numId w:val="19"/>
        </w:numPr>
        <w:autoSpaceDE/>
        <w:spacing w:after="160" w:line="254" w:lineRule="auto"/>
      </w:pPr>
      <w:r w:rsidRPr="00404CB1">
        <w:t>Effondrement de la production nucléaire (crise de corrosion sous contrainte)</w:t>
      </w:r>
    </w:p>
    <w:p w14:paraId="54BC6E7F" w14:textId="77777777" w:rsidR="000C66D7" w:rsidRPr="00404CB1" w:rsidRDefault="000C66D7" w:rsidP="000C66D7">
      <w:pPr>
        <w:pStyle w:val="Paragraphedeliste"/>
        <w:widowControl/>
        <w:numPr>
          <w:ilvl w:val="0"/>
          <w:numId w:val="19"/>
        </w:numPr>
        <w:autoSpaceDE/>
        <w:spacing w:after="160" w:line="254" w:lineRule="auto"/>
      </w:pPr>
      <w:r w:rsidRPr="00404CB1">
        <w:t>Sécheresse exceptionnelle (baisse de l'hydraulique)</w:t>
      </w:r>
    </w:p>
    <w:p w14:paraId="5BE7D3B4" w14:textId="77777777" w:rsidR="000C66D7" w:rsidRPr="00404CB1" w:rsidRDefault="000C66D7" w:rsidP="000C66D7">
      <w:pPr>
        <w:pStyle w:val="Paragraphedeliste"/>
        <w:widowControl/>
        <w:numPr>
          <w:ilvl w:val="0"/>
          <w:numId w:val="19"/>
        </w:numPr>
        <w:autoSpaceDE/>
        <w:spacing w:after="160" w:line="254" w:lineRule="auto"/>
      </w:pPr>
      <w:r w:rsidRPr="00404CB1">
        <w:t xml:space="preserve">France devenue </w:t>
      </w:r>
      <w:r w:rsidRPr="00404CB1">
        <w:rPr>
          <w:b/>
          <w:bCs/>
        </w:rPr>
        <w:t>importatrice nette d'électricité</w:t>
      </w:r>
      <w:r w:rsidRPr="00404CB1">
        <w:t xml:space="preserve"> pour la première fois depuis des décennies</w:t>
      </w:r>
    </w:p>
    <w:p w14:paraId="67B18ADD" w14:textId="77777777" w:rsidR="000C66D7" w:rsidRDefault="000C66D7" w:rsidP="000C66D7">
      <w:pPr>
        <w:pStyle w:val="Paragraphedeliste"/>
      </w:pPr>
      <w:r w:rsidRPr="00404CB1">
        <w:t xml:space="preserve">Ces événements illustrent la </w:t>
      </w:r>
      <w:r w:rsidRPr="00404CB1">
        <w:rPr>
          <w:b/>
          <w:bCs/>
        </w:rPr>
        <w:t>fragilité du système électrique</w:t>
      </w:r>
      <w:r w:rsidRPr="00404CB1">
        <w:t xml:space="preserve"> face à la conjonction de chocs structurels et conjoncturels.</w:t>
      </w:r>
    </w:p>
    <w:p w14:paraId="21291E66" w14:textId="77777777" w:rsidR="000C66D7" w:rsidRDefault="000C66D7" w:rsidP="000C66D7">
      <w:pPr>
        <w:pStyle w:val="Paragraphedeliste"/>
      </w:pPr>
    </w:p>
    <w:p w14:paraId="417FE7ED" w14:textId="77777777" w:rsidR="000C66D7" w:rsidRDefault="000C66D7" w:rsidP="000C66D7">
      <w:pPr>
        <w:pStyle w:val="Paragraphedeliste"/>
      </w:pPr>
      <w:r>
        <w:t>Cette analyse de la production appelle naturellement deux questionnements complémentaires, qui seront explorés dans les parties suivantes :</w:t>
      </w:r>
    </w:p>
    <w:p w14:paraId="62F143C4" w14:textId="77777777" w:rsidR="000C66D7" w:rsidRDefault="000C66D7" w:rsidP="000C66D7">
      <w:pPr>
        <w:pStyle w:val="Paragraphedeliste"/>
        <w:widowControl/>
        <w:numPr>
          <w:ilvl w:val="0"/>
          <w:numId w:val="21"/>
        </w:numPr>
        <w:autoSpaceDE/>
        <w:spacing w:after="160" w:line="254" w:lineRule="auto"/>
      </w:pPr>
      <w:r w:rsidRPr="00E20637">
        <w:rPr>
          <w:b/>
          <w:bCs/>
        </w:rPr>
        <w:t>Partie B</w:t>
      </w:r>
      <w:r w:rsidRPr="00E20637">
        <w:t xml:space="preserve"> : comment la </w:t>
      </w:r>
      <w:r w:rsidRPr="00E20637">
        <w:rPr>
          <w:b/>
          <w:bCs/>
        </w:rPr>
        <w:t>consommation électrique</w:t>
      </w:r>
      <w:r w:rsidRPr="00E20637">
        <w:t xml:space="preserve"> évolue-t-elle, et dans quelle mesure dépend-elle du </w:t>
      </w:r>
      <w:r w:rsidRPr="00E20637">
        <w:rPr>
          <w:b/>
          <w:bCs/>
        </w:rPr>
        <w:t>climat</w:t>
      </w:r>
      <w:r w:rsidRPr="00E20637">
        <w:t xml:space="preserve"> ?</w:t>
      </w:r>
    </w:p>
    <w:p w14:paraId="5CC199C8" w14:textId="77777777" w:rsidR="000C66D7" w:rsidRPr="00404CB1" w:rsidRDefault="000C66D7" w:rsidP="000C66D7">
      <w:pPr>
        <w:pStyle w:val="Paragraphedeliste"/>
        <w:widowControl/>
        <w:numPr>
          <w:ilvl w:val="0"/>
          <w:numId w:val="21"/>
        </w:numPr>
        <w:autoSpaceDE/>
        <w:spacing w:after="160" w:line="254" w:lineRule="auto"/>
      </w:pPr>
      <w:r w:rsidRPr="00E20637">
        <w:rPr>
          <w:b/>
          <w:bCs/>
        </w:rPr>
        <w:t>Partie C</w:t>
      </w:r>
      <w:r w:rsidRPr="00E20637">
        <w:t xml:space="preserve"> : quel est l'impact du mix énergétique global sur les </w:t>
      </w:r>
      <w:r w:rsidRPr="00E20637">
        <w:rPr>
          <w:b/>
          <w:bCs/>
        </w:rPr>
        <w:t>émissions de CO2</w:t>
      </w:r>
      <w:r w:rsidRPr="00E20637">
        <w:t xml:space="preserve"> et l'</w:t>
      </w:r>
      <w:r w:rsidRPr="00E20637">
        <w:rPr>
          <w:b/>
          <w:bCs/>
        </w:rPr>
        <w:t>indépendance énergétique</w:t>
      </w:r>
      <w:r w:rsidRPr="00E20637">
        <w:t xml:space="preserve"> de la France ?</w:t>
      </w:r>
    </w:p>
    <w:p w14:paraId="0A3576DC" w14:textId="77777777" w:rsidR="000C66D7" w:rsidRPr="008021F9" w:rsidRDefault="000C66D7" w:rsidP="000C66D7">
      <w:pPr>
        <w:pStyle w:val="Paragraphedeliste"/>
      </w:pPr>
    </w:p>
    <w:p w14:paraId="401D8A4C" w14:textId="77777777" w:rsidR="000C66D7" w:rsidRDefault="000C66D7" w:rsidP="000C66D7"/>
    <w:p w14:paraId="45FE1011" w14:textId="77777777" w:rsidR="00F90B25" w:rsidRDefault="00F90B25" w:rsidP="000C66D7"/>
    <w:p w14:paraId="10C31DE6" w14:textId="77777777" w:rsidR="00F90B25" w:rsidRDefault="00F90B25" w:rsidP="000C66D7"/>
    <w:p w14:paraId="544A2749" w14:textId="77777777" w:rsidR="00F90B25" w:rsidRDefault="00F90B25" w:rsidP="000C66D7"/>
    <w:p w14:paraId="004021CA" w14:textId="77777777" w:rsidR="00F90B25" w:rsidRDefault="00F90B25" w:rsidP="000C66D7"/>
    <w:p w14:paraId="02AD1D7B" w14:textId="77777777" w:rsidR="00F90B25" w:rsidRDefault="00F90B25" w:rsidP="000C66D7"/>
    <w:p w14:paraId="20081278" w14:textId="77777777" w:rsidR="00F90B25" w:rsidRDefault="00F90B25" w:rsidP="000C66D7"/>
    <w:p w14:paraId="0CDD9891" w14:textId="77777777" w:rsidR="00F90B25" w:rsidRDefault="00F90B25" w:rsidP="000C66D7"/>
    <w:p w14:paraId="30B7D9D6" w14:textId="77777777" w:rsidR="00F90B25" w:rsidRDefault="00F90B25" w:rsidP="000C66D7"/>
    <w:p w14:paraId="0846A168" w14:textId="77777777" w:rsidR="00F90B25" w:rsidRDefault="00F90B25" w:rsidP="000C66D7"/>
    <w:p w14:paraId="6C730D67" w14:textId="77777777" w:rsidR="00F90B25" w:rsidRDefault="00F90B25" w:rsidP="000C66D7"/>
    <w:p w14:paraId="74128DD6" w14:textId="77777777" w:rsidR="00F90B25" w:rsidRDefault="00F90B25" w:rsidP="000C66D7"/>
    <w:p w14:paraId="32E555E8" w14:textId="77777777" w:rsidR="00F90B25" w:rsidRDefault="00F90B25" w:rsidP="000C66D7"/>
    <w:p w14:paraId="3B49D4F7" w14:textId="77777777" w:rsidR="00F90B25" w:rsidRDefault="00F90B25" w:rsidP="000C66D7"/>
    <w:p w14:paraId="1A5074D4" w14:textId="77777777" w:rsidR="00F90B25" w:rsidRDefault="00F90B25" w:rsidP="000C66D7"/>
    <w:p w14:paraId="339AC942" w14:textId="77777777" w:rsidR="00F90B25" w:rsidRDefault="00F90B25" w:rsidP="000C66D7"/>
    <w:p w14:paraId="1449FF06" w14:textId="77777777" w:rsidR="00F90B25" w:rsidRDefault="00F90B25" w:rsidP="000C66D7"/>
    <w:p w14:paraId="4522DF74" w14:textId="77777777" w:rsidR="00F90B25" w:rsidRDefault="00F90B25" w:rsidP="000C66D7"/>
    <w:p w14:paraId="57E8CC64" w14:textId="77777777" w:rsidR="00F90B25" w:rsidRDefault="00F90B25" w:rsidP="000C66D7"/>
    <w:p w14:paraId="3171899A" w14:textId="77777777" w:rsidR="00F90B25" w:rsidRDefault="00F90B25" w:rsidP="000C66D7"/>
    <w:p w14:paraId="23E40668" w14:textId="77777777" w:rsidR="00F90B25" w:rsidRDefault="00F90B25" w:rsidP="000C66D7"/>
    <w:p w14:paraId="295EDCFE" w14:textId="77777777" w:rsidR="00F90B25" w:rsidRDefault="00F90B25" w:rsidP="000C66D7"/>
    <w:p w14:paraId="31447E74" w14:textId="77777777" w:rsidR="00F90B25" w:rsidRDefault="00F90B25" w:rsidP="000C66D7"/>
    <w:p w14:paraId="1A9C8203" w14:textId="77777777" w:rsidR="00F90B25" w:rsidRDefault="00F90B25" w:rsidP="000C66D7"/>
    <w:p w14:paraId="5609B710" w14:textId="77777777" w:rsidR="00F90B25" w:rsidRPr="005B359C" w:rsidRDefault="00F90B25" w:rsidP="000C66D7"/>
    <w:p w14:paraId="6A9A5937" w14:textId="77777777" w:rsidR="00E258E5" w:rsidRPr="00D34C4B" w:rsidRDefault="00E258E5" w:rsidP="00E258E5">
      <w:pPr>
        <w:pStyle w:val="Titre1"/>
      </w:pPr>
      <w:bookmarkStart w:id="22" w:name="_Toc229338123"/>
      <w:r w:rsidRPr="00D34C4B">
        <w:t>PARTIE B – La consommation électrique et sa thermo sensibilité (2011-</w:t>
      </w:r>
      <w:r w:rsidRPr="00491377">
        <w:t>2022</w:t>
      </w:r>
      <w:r w:rsidRPr="00D34C4B">
        <w:t>)</w:t>
      </w:r>
      <w:bookmarkEnd w:id="22"/>
    </w:p>
    <w:p w14:paraId="3E5D89BE" w14:textId="77777777" w:rsidR="00E258E5" w:rsidRPr="00706A2E" w:rsidRDefault="00E258E5" w:rsidP="00E258E5">
      <w:pPr>
        <w:rPr>
          <w:color w:val="000000" w:themeColor="text1"/>
        </w:rPr>
      </w:pPr>
    </w:p>
    <w:p w14:paraId="257A140B" w14:textId="77777777" w:rsidR="00E258E5" w:rsidRPr="00C32F90" w:rsidRDefault="00E258E5" w:rsidP="00E258E5">
      <w:pPr>
        <w:rPr>
          <w:color w:val="000000" w:themeColor="text1"/>
          <w:szCs w:val="28"/>
        </w:rPr>
      </w:pPr>
      <w:r w:rsidRPr="00C32F90">
        <w:rPr>
          <w:color w:val="000000" w:themeColor="text1"/>
          <w:szCs w:val="28"/>
        </w:rPr>
        <w:t>Cette analyse fait suite à l'étude de la production (Partie A) pour comprendre comment la consommation électrique évolue au fil du temps et dans quelle mesure elle dépend du climat. La problématique étudiée est la suivante : « Comment se répartit la demande électrique française au fil des saisons, et quel est l'impact réel du froid sur le dimensionnement de notre consommation ? » Pour y répondre, nous avons modélisé les données de consommation avec l'indice de rigueur climatique (DJU - Degrés Jours Unifiés) à travers 4 graphiques et une série d'indicateurs statistiques.</w:t>
      </w:r>
    </w:p>
    <w:p w14:paraId="575FB18D" w14:textId="77777777" w:rsidR="00E258E5" w:rsidRPr="00706A2E" w:rsidRDefault="00E258E5" w:rsidP="00E258E5">
      <w:pPr>
        <w:rPr>
          <w:color w:val="000000" w:themeColor="text1"/>
        </w:rPr>
      </w:pPr>
    </w:p>
    <w:p w14:paraId="0D2B59F9" w14:textId="77777777" w:rsidR="00E258E5" w:rsidRPr="00FB2BF3" w:rsidRDefault="00E258E5" w:rsidP="00E258E5">
      <w:pPr>
        <w:pStyle w:val="Titre2"/>
      </w:pPr>
      <w:bookmarkStart w:id="23" w:name="_Toc229338124"/>
      <w:r w:rsidRPr="00FB2BF3">
        <w:t>1. Présentation et traitement des données</w:t>
      </w:r>
      <w:bookmarkEnd w:id="23"/>
    </w:p>
    <w:p w14:paraId="53276093" w14:textId="77777777" w:rsidR="00E258E5" w:rsidRPr="00FB2BF3" w:rsidRDefault="00E258E5" w:rsidP="00E258E5">
      <w:pPr>
        <w:pStyle w:val="Titre3"/>
      </w:pPr>
      <w:bookmarkStart w:id="24" w:name="_Toc229338125"/>
      <w:r w:rsidRPr="00FB2BF3">
        <w:t>1.1 Source et structure</w:t>
      </w:r>
      <w:bookmarkEnd w:id="24"/>
    </w:p>
    <w:p w14:paraId="28B0CD4E" w14:textId="77777777" w:rsidR="00E258E5" w:rsidRPr="00706A2E" w:rsidRDefault="00E258E5" w:rsidP="00E258E5">
      <w:pPr>
        <w:rPr>
          <w:color w:val="000000" w:themeColor="text1"/>
        </w:rPr>
      </w:pPr>
    </w:p>
    <w:p w14:paraId="21C10460"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Période couverte :</w:t>
      </w:r>
      <w:r w:rsidRPr="00F809E6">
        <w:rPr>
          <w:rFonts w:eastAsiaTheme="majorEastAsia"/>
        </w:rPr>
        <w:t xml:space="preserve"> de janvier 2011 à décembre 2022.</w:t>
      </w:r>
    </w:p>
    <w:p w14:paraId="04D1A4F4"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Fréquence :</w:t>
      </w:r>
      <w:r w:rsidRPr="00F809E6">
        <w:rPr>
          <w:rFonts w:eastAsiaTheme="majorEastAsia"/>
        </w:rPr>
        <w:t xml:space="preserve"> mensuelle.</w:t>
      </w:r>
    </w:p>
    <w:p w14:paraId="79B1E274"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Nombre d’observations :</w:t>
      </w:r>
      <w:r w:rsidRPr="00F809E6">
        <w:rPr>
          <w:rFonts w:eastAsiaTheme="majorEastAsia"/>
        </w:rPr>
        <w:t xml:space="preserve"> 144 lignes de données conjointes.</w:t>
      </w:r>
    </w:p>
    <w:p w14:paraId="384976B9"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Variables retenues :</w:t>
      </w:r>
      <w:r w:rsidRPr="00F809E6">
        <w:rPr>
          <w:rFonts w:eastAsiaTheme="majorEastAsia"/>
        </w:rPr>
        <w:t xml:space="preserve"> Consommation électrique totale (en GWh) et Indice de rigueur climatique (DJU mensuel).</w:t>
      </w:r>
    </w:p>
    <w:p w14:paraId="755C7756" w14:textId="77777777" w:rsidR="00E258E5" w:rsidRPr="00706A2E" w:rsidRDefault="00E258E5" w:rsidP="00C32F90">
      <w:pPr>
        <w:rPr>
          <w:rFonts w:eastAsiaTheme="majorEastAsia"/>
          <w:sz w:val="40"/>
          <w:szCs w:val="40"/>
        </w:rPr>
      </w:pPr>
    </w:p>
    <w:p w14:paraId="775B202A" w14:textId="77777777" w:rsidR="00E258E5" w:rsidRPr="009D720C" w:rsidRDefault="00E258E5" w:rsidP="00E258E5">
      <w:pPr>
        <w:pStyle w:val="Titre3"/>
      </w:pPr>
      <w:bookmarkStart w:id="25" w:name="_Toc229338126"/>
      <w:r w:rsidRPr="009D720C">
        <w:t>1.2 Traitement effectué</w:t>
      </w:r>
      <w:bookmarkEnd w:id="25"/>
    </w:p>
    <w:p w14:paraId="7DEDEA42" w14:textId="77777777" w:rsidR="00E258E5" w:rsidRPr="00706A2E" w:rsidRDefault="00E258E5" w:rsidP="00E258E5">
      <w:pPr>
        <w:rPr>
          <w:color w:val="000000" w:themeColor="text1"/>
        </w:rPr>
      </w:pPr>
    </w:p>
    <w:p w14:paraId="2B40E1AF" w14:textId="77777777" w:rsidR="00E258E5" w:rsidRPr="00F809E6" w:rsidRDefault="00E258E5" w:rsidP="00C32F90">
      <w:pPr>
        <w:rPr>
          <w:rFonts w:eastAsiaTheme="majorEastAsia"/>
        </w:rPr>
      </w:pPr>
      <w:r w:rsidRPr="00F809E6">
        <w:rPr>
          <w:rFonts w:eastAsiaTheme="majorEastAsia"/>
        </w:rPr>
        <w:lastRenderedPageBreak/>
        <w:t xml:space="preserve">· </w:t>
      </w:r>
      <w:r w:rsidRPr="00F809E6">
        <w:rPr>
          <w:rFonts w:eastAsiaTheme="majorEastAsia"/>
          <w:b/>
          <w:bCs/>
        </w:rPr>
        <w:t>Nettoyage des séries :</w:t>
      </w:r>
      <w:r w:rsidRPr="00F809E6">
        <w:rPr>
          <w:rFonts w:eastAsiaTheme="majorEastAsia"/>
        </w:rPr>
        <w:t xml:space="preserve"> Pour que la modélisation mathématique (nuage de points) soit exacte, nous avons dû isoler et faire correspondre strictement les mois possédant à la fois une valeur de consommation et une valeur de DJU, en écartant les données incomplètes.</w:t>
      </w:r>
    </w:p>
    <w:p w14:paraId="731ECC37"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Catégorisation temporelle :</w:t>
      </w:r>
      <w:r w:rsidRPr="00F809E6">
        <w:rPr>
          <w:rFonts w:eastAsiaTheme="majorEastAsia"/>
        </w:rPr>
        <w:t xml:space="preserve"> Regroupement des données par mois de l'année et par saison météorologique (Hiver/Été) pour permettre l'analyse de la dispersion via un diagramme en boîtes.</w:t>
      </w:r>
    </w:p>
    <w:p w14:paraId="7F8D4B6B"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Calculs statistiques :</w:t>
      </w:r>
      <w:r w:rsidRPr="00F809E6">
        <w:rPr>
          <w:rFonts w:eastAsiaTheme="majorEastAsia"/>
        </w:rPr>
        <w:t xml:space="preserve"> Génération des indicateurs de position (moyenne) et de dispersion (écart-type, minimum, maximum) pour chiffrer la volatilité de la demande.</w:t>
      </w:r>
    </w:p>
    <w:p w14:paraId="6A93485F" w14:textId="77777777" w:rsidR="00E258E5" w:rsidRPr="00317E0D" w:rsidRDefault="00E258E5" w:rsidP="00E258E5">
      <w:pPr>
        <w:pStyle w:val="Titre2"/>
      </w:pPr>
      <w:bookmarkStart w:id="26" w:name="_Toc229338127"/>
      <w:r w:rsidRPr="00317E0D">
        <w:t>2. Évolution temporelle de la consommation et du climat</w:t>
      </w:r>
      <w:bookmarkEnd w:id="26"/>
    </w:p>
    <w:p w14:paraId="2F4C5222" w14:textId="77777777" w:rsidR="00E258E5" w:rsidRPr="00706A2E" w:rsidRDefault="00E258E5" w:rsidP="00E258E5">
      <w:pPr>
        <w:rPr>
          <w:rFonts w:asciiTheme="majorHAnsi" w:eastAsiaTheme="majorEastAsia" w:hAnsiTheme="majorHAnsi" w:cstheme="majorBidi"/>
          <w:color w:val="000000" w:themeColor="text1"/>
          <w:sz w:val="40"/>
          <w:szCs w:val="40"/>
        </w:rPr>
      </w:pPr>
      <w:r w:rsidRPr="00C32F90">
        <w:t>Figure 1 – Évolution de la consommation électrique et de la rigueur climatique</w:t>
      </w:r>
      <w:r w:rsidRPr="00706A2E">
        <w:rPr>
          <w:noProof/>
          <w:color w:val="000000" w:themeColor="text1"/>
        </w:rPr>
        <w:drawing>
          <wp:inline distT="0" distB="0" distL="0" distR="0" wp14:anchorId="201C29A1" wp14:editId="7375B8F6">
            <wp:extent cx="6226538" cy="4672976"/>
            <wp:effectExtent l="0" t="0" r="3175" b="13335"/>
            <wp:docPr id="1658461042" name="Graphique 1">
              <a:extLst xmlns:a="http://schemas.openxmlformats.org/drawingml/2006/main">
                <a:ext uri="{FF2B5EF4-FFF2-40B4-BE49-F238E27FC236}">
                  <a16:creationId xmlns:a16="http://schemas.microsoft.com/office/drawing/2014/main" id="{66E344FE-D9C8-4BBC-A830-96CE5B9678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Pr="00706A2E">
        <w:rPr>
          <w:noProof/>
          <w:color w:val="000000" w:themeColor="text1"/>
        </w:rPr>
        <w:t xml:space="preserve"> </w:t>
      </w:r>
      <w:r w:rsidRPr="00706A2E">
        <w:rPr>
          <w:noProof/>
          <w:color w:val="000000" w:themeColor="text1"/>
        </w:rPr>
        <w:lastRenderedPageBreak/>
        <w:drawing>
          <wp:inline distT="0" distB="0" distL="0" distR="0" wp14:anchorId="0645AD68" wp14:editId="3A1A21F5">
            <wp:extent cx="6226175" cy="3965944"/>
            <wp:effectExtent l="0" t="0" r="3175" b="15875"/>
            <wp:docPr id="161077830" name="Graphique 1">
              <a:extLst xmlns:a="http://schemas.openxmlformats.org/drawingml/2006/main">
                <a:ext uri="{FF2B5EF4-FFF2-40B4-BE49-F238E27FC236}">
                  <a16:creationId xmlns:a16="http://schemas.microsoft.com/office/drawing/2014/main" id="{85442C0B-90AE-4085-A83F-37A675920C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DF7B23A" w14:textId="77777777" w:rsidR="00E258E5" w:rsidRPr="00F809E6" w:rsidRDefault="00E258E5" w:rsidP="00C32F90">
      <w:pPr>
        <w:rPr>
          <w:rFonts w:eastAsiaTheme="majorEastAsia"/>
        </w:rPr>
      </w:pPr>
      <w:r w:rsidRPr="00F809E6">
        <w:rPr>
          <w:rFonts w:eastAsiaTheme="majorEastAsia"/>
        </w:rPr>
        <w:t xml:space="preserve">Ces deux graphiques superposent l'évolution de la charge du réseau électrique et celle des températures (DJU) sur une décennie complète. Il met en évidence plusieurs phénomènes : · </w:t>
      </w:r>
      <w:r w:rsidRPr="00F809E6">
        <w:rPr>
          <w:rFonts w:eastAsiaTheme="majorEastAsia"/>
          <w:b/>
          <w:bCs/>
        </w:rPr>
        <w:t>Une synchronisation parfaite :</w:t>
      </w:r>
      <w:r w:rsidRPr="00F809E6">
        <w:rPr>
          <w:rFonts w:eastAsiaTheme="majorEastAsia"/>
        </w:rPr>
        <w:t xml:space="preserve"> L'analyse visuelle de la série temporelle révèle une cyclicité évidente. Chaque variation brutale de température (les pics de DJU, synonymes de mois froids) se traduit instantanément par un bond proportionnel de la consommation électrique. · </w:t>
      </w:r>
      <w:r w:rsidRPr="00F809E6">
        <w:rPr>
          <w:rFonts w:eastAsiaTheme="majorEastAsia"/>
          <w:b/>
          <w:bCs/>
        </w:rPr>
        <w:t>Une stabilité tendancielle :</w:t>
      </w:r>
      <w:r w:rsidRPr="00F809E6">
        <w:rPr>
          <w:rFonts w:eastAsiaTheme="majorEastAsia"/>
        </w:rPr>
        <w:t xml:space="preserve"> Contrairement à la production de certaines énergies renouvelables étudiées en Partie A qui sont en forte croissance, la consommation globale de fond reste remarquablement "plate" sur la période 2011-2022. Cela suggère que la multiplication des appareils électroniques dans les foyers est aujourd'hui compensée par l'amélioration de l'efficacité énergétique des bâtiments et des équipements.</w:t>
      </w:r>
    </w:p>
    <w:p w14:paraId="427D26AC" w14:textId="77777777" w:rsidR="00E258E5" w:rsidRPr="00317E0D" w:rsidRDefault="00E258E5" w:rsidP="00E258E5">
      <w:pPr>
        <w:pStyle w:val="Titre2"/>
      </w:pPr>
      <w:bookmarkStart w:id="27" w:name="_Toc229338128"/>
      <w:r w:rsidRPr="00317E0D">
        <w:t>3. Corrélation et modélisation de la thermo sensibilité</w:t>
      </w:r>
      <w:bookmarkEnd w:id="27"/>
    </w:p>
    <w:p w14:paraId="564178E3" w14:textId="77777777" w:rsidR="00E258E5" w:rsidRPr="00706A2E" w:rsidRDefault="00E258E5" w:rsidP="00E258E5">
      <w:r w:rsidRPr="00706A2E">
        <w:t>Figure 2 – Modélisation de la relation entre consommation et DJU</w:t>
      </w:r>
    </w:p>
    <w:p w14:paraId="28C78597" w14:textId="77777777" w:rsidR="00E258E5" w:rsidRPr="00706A2E" w:rsidRDefault="00E258E5" w:rsidP="00E258E5">
      <w:pPr>
        <w:rPr>
          <w:rFonts w:asciiTheme="majorHAnsi" w:eastAsiaTheme="majorEastAsia" w:hAnsiTheme="majorHAnsi" w:cstheme="majorBidi"/>
          <w:color w:val="000000" w:themeColor="text1"/>
          <w:sz w:val="40"/>
          <w:szCs w:val="40"/>
        </w:rPr>
      </w:pPr>
      <w:r w:rsidRPr="00706A2E">
        <w:rPr>
          <w:noProof/>
          <w:color w:val="000000" w:themeColor="text1"/>
        </w:rPr>
        <w:lastRenderedPageBreak/>
        <w:drawing>
          <wp:inline distT="0" distB="0" distL="0" distR="0" wp14:anchorId="1795902B" wp14:editId="5FC88521">
            <wp:extent cx="5408295" cy="4648200"/>
            <wp:effectExtent l="0" t="0" r="1905" b="0"/>
            <wp:docPr id="2079522787" name="Graphique 1">
              <a:extLst xmlns:a="http://schemas.openxmlformats.org/drawingml/2006/main">
                <a:ext uri="{FF2B5EF4-FFF2-40B4-BE49-F238E27FC236}">
                  <a16:creationId xmlns:a16="http://schemas.microsoft.com/office/drawing/2014/main" id="{2A1D4E35-57BA-4858-B382-D7B81DCCDD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95CC5A1" w14:textId="77777777" w:rsidR="00E258E5" w:rsidRPr="00F809E6" w:rsidRDefault="00E258E5" w:rsidP="00C32F90">
      <w:pPr>
        <w:rPr>
          <w:rFonts w:eastAsiaTheme="majorEastAsia"/>
        </w:rPr>
      </w:pPr>
      <w:r w:rsidRPr="00F809E6">
        <w:rPr>
          <w:rFonts w:eastAsiaTheme="majorEastAsia"/>
        </w:rPr>
        <w:t>Ce nuage de points est le cœur de notre analyse. Il permet de passer d'un simple constat visuel à une mesure mathématique précise de l'influence du climat sur le réseau.</w:t>
      </w:r>
    </w:p>
    <w:p w14:paraId="471667D0"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Un modèle performant :</w:t>
      </w:r>
      <w:r w:rsidRPr="00F809E6">
        <w:rPr>
          <w:rFonts w:eastAsiaTheme="majorEastAsia"/>
        </w:rPr>
        <w:t xml:space="preserve"> Le coefficient de détermination obtenu est de </w:t>
      </w:r>
      <w:r w:rsidRPr="00F809E6">
        <w:rPr>
          <w:rFonts w:eastAsiaTheme="majorEastAsia"/>
          <w:b/>
          <w:bCs/>
        </w:rPr>
        <w:t>$R^2 = 0,59$</w:t>
      </w:r>
      <w:r w:rsidRPr="00F809E6">
        <w:rPr>
          <w:rFonts w:eastAsiaTheme="majorEastAsia"/>
        </w:rPr>
        <w:t>. Ce score est élevé pour une analyse à variable unique. Il démontre que près de 60 % des variations de la consommation électrique nationale s'expliquent uniquement par la chute des températures.</w:t>
      </w:r>
    </w:p>
    <w:p w14:paraId="4199647D"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Le calcul de la thermo sensibilité :</w:t>
      </w:r>
      <w:r w:rsidRPr="00F809E6">
        <w:rPr>
          <w:rFonts w:eastAsiaTheme="majorEastAsia"/>
        </w:rPr>
        <w:t xml:space="preserve"> L'équation de la droite de régression linéaire permet d'extraire la "sensibilité au froid" du pays. La pente nous indique que pour chaque point de DJU supplémentaire, la consommation électrique augmente de </w:t>
      </w:r>
      <w:r w:rsidRPr="00F809E6">
        <w:rPr>
          <w:rFonts w:eastAsiaTheme="majorEastAsia"/>
          <w:b/>
          <w:bCs/>
        </w:rPr>
        <w:t>185,2 GWh</w:t>
      </w:r>
      <w:r w:rsidRPr="00F809E6">
        <w:rPr>
          <w:rFonts w:eastAsiaTheme="majorEastAsia"/>
        </w:rPr>
        <w:t>. C'est ce chiffre critique qui permet aux gestionnaires du réseau d'anticiper les risques de coupure lors des vagues de froid.</w:t>
      </w:r>
    </w:p>
    <w:p w14:paraId="34B0E5A7"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Le socle incompressible :</w:t>
      </w:r>
      <w:r w:rsidRPr="00F809E6">
        <w:rPr>
          <w:rFonts w:eastAsiaTheme="majorEastAsia"/>
        </w:rPr>
        <w:t xml:space="preserve"> L'ordonnée à l'origine (le point de départ de la droite de tendance) se situe aux alentours de </w:t>
      </w:r>
      <w:r w:rsidRPr="00F809E6">
        <w:rPr>
          <w:rFonts w:eastAsiaTheme="majorEastAsia"/>
          <w:b/>
          <w:bCs/>
        </w:rPr>
        <w:t>86 048 GWh</w:t>
      </w:r>
      <w:r w:rsidRPr="00F809E6">
        <w:rPr>
          <w:rFonts w:eastAsiaTheme="majorEastAsia"/>
        </w:rPr>
        <w:t>. Cette valeur matérialise le "talon de consommation" de la France : c'est l'énergie minimale requise pour faire tourner l'industrie, les serveurs informatiques et l'éclairage, indépendamment de tout besoin en chauffage.</w:t>
      </w:r>
    </w:p>
    <w:p w14:paraId="01671422" w14:textId="77777777" w:rsidR="00E258E5" w:rsidRPr="00317E0D" w:rsidRDefault="00E258E5" w:rsidP="00E258E5">
      <w:pPr>
        <w:pStyle w:val="Titre2"/>
      </w:pPr>
      <w:bookmarkStart w:id="28" w:name="_Toc229338129"/>
      <w:r w:rsidRPr="00317E0D">
        <w:lastRenderedPageBreak/>
        <w:t>4. Analyse de la saisonnalité et des risques de dispersion</w:t>
      </w:r>
      <w:bookmarkEnd w:id="28"/>
    </w:p>
    <w:p w14:paraId="6A7C155F" w14:textId="77777777" w:rsidR="00E258E5" w:rsidRPr="009D720C" w:rsidRDefault="00E258E5" w:rsidP="00E258E5">
      <w:pPr>
        <w:pStyle w:val="Titre3"/>
      </w:pPr>
      <w:bookmarkStart w:id="29" w:name="_Toc229338130"/>
      <w:r w:rsidRPr="009D720C">
        <w:t>4.1 Le profil de charge mensuel</w:t>
      </w:r>
      <w:bookmarkEnd w:id="29"/>
    </w:p>
    <w:p w14:paraId="354CC01F" w14:textId="77777777" w:rsidR="00E258E5" w:rsidRPr="00706A2E" w:rsidRDefault="00E258E5" w:rsidP="00C32F90">
      <w:pPr>
        <w:rPr>
          <w:rFonts w:eastAsiaTheme="majorEastAsia"/>
        </w:rPr>
      </w:pPr>
      <w:r w:rsidRPr="00706A2E">
        <w:rPr>
          <w:rFonts w:eastAsiaTheme="majorEastAsia"/>
        </w:rPr>
        <w:t>Figure 3 – Consommation moyenne par mois</w:t>
      </w:r>
    </w:p>
    <w:p w14:paraId="5C7325B3" w14:textId="77777777" w:rsidR="00E258E5" w:rsidRPr="00706A2E" w:rsidRDefault="00E258E5" w:rsidP="00E258E5">
      <w:pPr>
        <w:rPr>
          <w:rFonts w:asciiTheme="majorHAnsi" w:eastAsiaTheme="majorEastAsia" w:hAnsiTheme="majorHAnsi" w:cstheme="majorBidi"/>
          <w:color w:val="000000" w:themeColor="text1"/>
          <w:sz w:val="40"/>
          <w:szCs w:val="40"/>
        </w:rPr>
      </w:pPr>
      <w:r w:rsidRPr="00706A2E">
        <w:rPr>
          <w:noProof/>
          <w:color w:val="000000" w:themeColor="text1"/>
        </w:rPr>
        <w:drawing>
          <wp:inline distT="0" distB="0" distL="0" distR="0" wp14:anchorId="2AA83614" wp14:editId="122F771C">
            <wp:extent cx="5760720" cy="2682875"/>
            <wp:effectExtent l="0" t="0" r="11430" b="3175"/>
            <wp:docPr id="889840351" name="Graphique 1">
              <a:extLst xmlns:a="http://schemas.openxmlformats.org/drawingml/2006/main">
                <a:ext uri="{FF2B5EF4-FFF2-40B4-BE49-F238E27FC236}">
                  <a16:creationId xmlns:a16="http://schemas.microsoft.com/office/drawing/2014/main" id="{BE8BD0DE-0833-4CBA-ADFB-4EBB3022C9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87A25F5"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Le cycle annuel en "U" :</w:t>
      </w:r>
      <w:r w:rsidRPr="00F809E6">
        <w:rPr>
          <w:rFonts w:eastAsiaTheme="majorEastAsia"/>
        </w:rPr>
        <w:t xml:space="preserve"> L'histogramme met en évidence une saisonnalité extrême. Les mois d'hiver (janvier et décembre en tête) marquent les pics absolus de demande, tandis que le creux est logiquement atteint au cœur de l'été (juillet et août).</w:t>
      </w:r>
    </w:p>
    <w:p w14:paraId="110F115B"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Le poids massif du chauffage électrique :</w:t>
      </w:r>
      <w:r w:rsidRPr="00F809E6">
        <w:rPr>
          <w:rFonts w:eastAsiaTheme="majorEastAsia"/>
        </w:rPr>
        <w:t xml:space="preserve"> L'écart de volume entre la période estivale et hivernale est spectaculaire. La demande totale double quasiment entre le plein été et le pic de l'hiver. Cela confirme que le chauffage des bâtiments est le principal moteur de dépense énergétique du pays.</w:t>
      </w:r>
    </w:p>
    <w:p w14:paraId="0A199260" w14:textId="77777777" w:rsidR="00E258E5" w:rsidRPr="009D720C" w:rsidRDefault="00E258E5" w:rsidP="00E258E5">
      <w:pPr>
        <w:pStyle w:val="Titre3"/>
      </w:pPr>
      <w:bookmarkStart w:id="30" w:name="_Toc229338131"/>
      <w:r w:rsidRPr="009D720C">
        <w:t>4.2 L'étude de la variabilité (Diagramme en boîtes)</w:t>
      </w:r>
      <w:bookmarkEnd w:id="30"/>
    </w:p>
    <w:p w14:paraId="121116D7" w14:textId="77777777" w:rsidR="00E258E5" w:rsidRPr="00706A2E" w:rsidRDefault="00E258E5" w:rsidP="00C32F90">
      <w:pPr>
        <w:rPr>
          <w:rFonts w:eastAsiaTheme="majorEastAsia"/>
        </w:rPr>
      </w:pPr>
      <w:r w:rsidRPr="00706A2E">
        <w:rPr>
          <w:rFonts w:eastAsiaTheme="majorEastAsia"/>
        </w:rPr>
        <w:t>Figure 4 – Dispersion de la consommation par saison</w:t>
      </w:r>
    </w:p>
    <w:p w14:paraId="34A5DECB" w14:textId="77777777" w:rsidR="00E258E5" w:rsidRPr="00706A2E" w:rsidRDefault="00E258E5" w:rsidP="00E258E5">
      <w:pPr>
        <w:rPr>
          <w:rFonts w:asciiTheme="majorHAnsi" w:eastAsiaTheme="majorEastAsia" w:hAnsiTheme="majorHAnsi" w:cstheme="majorBidi"/>
          <w:color w:val="000000" w:themeColor="text1"/>
          <w:sz w:val="40"/>
          <w:szCs w:val="40"/>
        </w:rPr>
      </w:pPr>
      <w:r w:rsidRPr="00706A2E">
        <w:rPr>
          <w:noProof/>
          <w:color w:val="000000" w:themeColor="text1"/>
        </w:rPr>
        <w:lastRenderedPageBreak/>
        <mc:AlternateContent>
          <mc:Choice Requires="cx1">
            <w:drawing>
              <wp:inline distT="0" distB="0" distL="0" distR="0" wp14:anchorId="41F9187B" wp14:editId="0C2D0014">
                <wp:extent cx="5760720" cy="3382645"/>
                <wp:effectExtent l="0" t="0" r="11430" b="8255"/>
                <wp:docPr id="1698092152" name="Graphique 1">
                  <a:extLst xmlns:a="http://schemas.openxmlformats.org/drawingml/2006/main">
                    <a:ext uri="{FF2B5EF4-FFF2-40B4-BE49-F238E27FC236}">
                      <a16:creationId xmlns:a16="http://schemas.microsoft.com/office/drawing/2014/main" id="{CA574B8F-CFF5-40DD-87B3-F544BB02151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inline>
            </w:drawing>
          </mc:Choice>
          <mc:Fallback>
            <w:drawing>
              <wp:inline distT="0" distB="0" distL="0" distR="0" wp14:anchorId="41F9187B" wp14:editId="0C2D0014">
                <wp:extent cx="5760720" cy="3382645"/>
                <wp:effectExtent l="0" t="0" r="11430" b="8255"/>
                <wp:docPr id="1698092152" name="Graphique 1">
                  <a:extLst xmlns:a="http://schemas.openxmlformats.org/drawingml/2006/main">
                    <a:ext uri="{FF2B5EF4-FFF2-40B4-BE49-F238E27FC236}">
                      <a16:creationId xmlns:a16="http://schemas.microsoft.com/office/drawing/2014/main" id="{CA574B8F-CFF5-40DD-87B3-F544BB02151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98092152" name="Graphique 1">
                          <a:extLst>
                            <a:ext uri="{FF2B5EF4-FFF2-40B4-BE49-F238E27FC236}">
                              <a16:creationId xmlns:a16="http://schemas.microsoft.com/office/drawing/2014/main" id="{CA574B8F-CFF5-40DD-87B3-F544BB021512}"/>
                            </a:ext>
                          </a:extLst>
                        </pic:cNvPr>
                        <pic:cNvPicPr>
                          <a:picLocks noGrp="1" noRot="1" noChangeAspect="1" noMove="1" noResize="1" noEditPoints="1" noAdjustHandles="1" noChangeArrowheads="1" noChangeShapeType="1"/>
                        </pic:cNvPicPr>
                      </pic:nvPicPr>
                      <pic:blipFill>
                        <a:blip r:embed="rId23"/>
                        <a:stretch>
                          <a:fillRect/>
                        </a:stretch>
                      </pic:blipFill>
                      <pic:spPr>
                        <a:xfrm>
                          <a:off x="0" y="0"/>
                          <a:ext cx="5760720" cy="3382645"/>
                        </a:xfrm>
                        <a:prstGeom prst="rect">
                          <a:avLst/>
                        </a:prstGeom>
                      </pic:spPr>
                    </pic:pic>
                  </a:graphicData>
                </a:graphic>
              </wp:inline>
            </w:drawing>
          </mc:Fallback>
        </mc:AlternateContent>
      </w:r>
    </w:p>
    <w:p w14:paraId="5A60DD6C" w14:textId="77777777" w:rsidR="00E258E5" w:rsidRPr="00F809E6" w:rsidRDefault="00E258E5" w:rsidP="00C32F90">
      <w:pPr>
        <w:rPr>
          <w:rFonts w:eastAsiaTheme="majorEastAsia"/>
        </w:rPr>
      </w:pPr>
      <w:r w:rsidRPr="00F809E6">
        <w:rPr>
          <w:rFonts w:eastAsiaTheme="majorEastAsia"/>
        </w:rPr>
        <w:t>Ce graphique permet de comprendre que toutes les saisons ne présentent pas le même niveau de risque pour le réseau électrique :</w:t>
      </w:r>
    </w:p>
    <w:p w14:paraId="511B639B"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L'hiver, une saison sous haute tension :</w:t>
      </w:r>
      <w:r w:rsidRPr="00F809E6">
        <w:rPr>
          <w:rFonts w:eastAsiaTheme="majorEastAsia"/>
        </w:rPr>
        <w:t xml:space="preserve"> Le diagramme montre que la saison hivernale est caractérisée par une très forte dispersion (la "boîte" est très étalée). La consommation y est particulièrement instable, car elle dépend de la rudesse imprévisible de la météo (la différence d'énergie requise entre un hiver très doux et une vague de froid polaire est immense).</w:t>
      </w:r>
    </w:p>
    <w:p w14:paraId="22C91650"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L'été, une saison sous contrôle :</w:t>
      </w:r>
      <w:r w:rsidRPr="00F809E6">
        <w:rPr>
          <w:rFonts w:eastAsiaTheme="majorEastAsia"/>
        </w:rPr>
        <w:t xml:space="preserve"> À l'inverse, la boîte représentant l'été est extrêmement resserrée. La consommation estivale est prévisible, stable et repose sur des usages constants qui varient très peu d'une année sur l'autre.</w:t>
      </w:r>
    </w:p>
    <w:p w14:paraId="1769CF36" w14:textId="77777777" w:rsidR="00E258E5" w:rsidRPr="009D720C" w:rsidRDefault="00E258E5" w:rsidP="00E258E5">
      <w:pPr>
        <w:pStyle w:val="Titre3"/>
      </w:pPr>
      <w:bookmarkStart w:id="31" w:name="_Toc229338132"/>
      <w:r w:rsidRPr="009D720C">
        <w:t>4.3 Synthèse des indicateurs statistiques</w:t>
      </w:r>
      <w:bookmarkEnd w:id="31"/>
    </w:p>
    <w:p w14:paraId="513EFD6B" w14:textId="77777777" w:rsidR="00E258E5" w:rsidRPr="00706A2E" w:rsidRDefault="00E258E5" w:rsidP="00C32F90">
      <w:pPr>
        <w:rPr>
          <w:rFonts w:eastAsiaTheme="majorEastAsia"/>
        </w:rPr>
      </w:pPr>
      <w:r w:rsidRPr="00706A2E">
        <w:rPr>
          <w:rFonts w:eastAsiaTheme="majorEastAsia"/>
        </w:rPr>
        <w:t>Figure 5 – Tableau des statistiques de consommation</w:t>
      </w:r>
    </w:p>
    <w:p w14:paraId="788CD18D" w14:textId="77777777" w:rsidR="00E258E5" w:rsidRPr="00706A2E" w:rsidRDefault="00E258E5" w:rsidP="00E258E5">
      <w:pPr>
        <w:rPr>
          <w:rFonts w:asciiTheme="majorHAnsi" w:eastAsiaTheme="majorEastAsia" w:hAnsiTheme="majorHAnsi" w:cstheme="majorBidi"/>
          <w:color w:val="000000" w:themeColor="text1"/>
          <w:sz w:val="40"/>
          <w:szCs w:val="40"/>
        </w:rPr>
      </w:pPr>
      <w:r w:rsidRPr="00706A2E">
        <w:rPr>
          <w:rFonts w:asciiTheme="majorHAnsi" w:eastAsiaTheme="majorEastAsia" w:hAnsiTheme="majorHAnsi" w:cstheme="majorBidi"/>
          <w:i/>
          <w:iCs/>
          <w:noProof/>
          <w:color w:val="000000" w:themeColor="text1"/>
          <w:sz w:val="40"/>
          <w:szCs w:val="40"/>
        </w:rPr>
        <w:drawing>
          <wp:inline distT="0" distB="0" distL="0" distR="0" wp14:anchorId="3568A721" wp14:editId="0AE068BF">
            <wp:extent cx="5760720" cy="1847215"/>
            <wp:effectExtent l="0" t="0" r="0" b="635"/>
            <wp:docPr id="714237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37710" name=""/>
                    <pic:cNvPicPr/>
                  </pic:nvPicPr>
                  <pic:blipFill>
                    <a:blip r:embed="rId24"/>
                    <a:stretch>
                      <a:fillRect/>
                    </a:stretch>
                  </pic:blipFill>
                  <pic:spPr>
                    <a:xfrm>
                      <a:off x="0" y="0"/>
                      <a:ext cx="5760720" cy="1847215"/>
                    </a:xfrm>
                    <a:prstGeom prst="rect">
                      <a:avLst/>
                    </a:prstGeom>
                  </pic:spPr>
                </pic:pic>
              </a:graphicData>
            </a:graphic>
          </wp:inline>
        </w:drawing>
      </w:r>
    </w:p>
    <w:p w14:paraId="4D500CB3"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La confirmation mathématique :</w:t>
      </w:r>
      <w:r w:rsidRPr="00F809E6">
        <w:rPr>
          <w:rFonts w:eastAsiaTheme="majorEastAsia"/>
        </w:rPr>
        <w:t xml:space="preserve"> Les indicateurs calculés viennent appuyer nos observations graphiques. L'écart-type (qui mesure l'étalement des données autour de la moyenne) est massivement supérieur en hiver par rapport à l'été. </w:t>
      </w:r>
      <w:r w:rsidRPr="00F809E6">
        <w:rPr>
          <w:rFonts w:eastAsiaTheme="majorEastAsia"/>
        </w:rPr>
        <w:lastRenderedPageBreak/>
        <w:t>Cela prouve mathématiquement la forte volatilité de la demande hivernale.</w:t>
      </w:r>
    </w:p>
    <w:p w14:paraId="1304203F" w14:textId="77777777" w:rsidR="00E258E5" w:rsidRPr="00F809E6" w:rsidRDefault="00E258E5" w:rsidP="00C32F90">
      <w:pPr>
        <w:rPr>
          <w:rFonts w:eastAsiaTheme="majorEastAsia"/>
        </w:rPr>
      </w:pPr>
      <w:r w:rsidRPr="00F809E6">
        <w:rPr>
          <w:rFonts w:eastAsiaTheme="majorEastAsia"/>
        </w:rPr>
        <w:t xml:space="preserve">· </w:t>
      </w:r>
      <w:r w:rsidRPr="00F809E6">
        <w:rPr>
          <w:rFonts w:eastAsiaTheme="majorEastAsia"/>
          <w:b/>
          <w:bCs/>
        </w:rPr>
        <w:t>L'analyse des extrêmes :</w:t>
      </w:r>
      <w:r w:rsidRPr="00F809E6">
        <w:rPr>
          <w:rFonts w:eastAsiaTheme="majorEastAsia"/>
        </w:rPr>
        <w:t xml:space="preserve"> Les minimums et maximums du tableau permettent d'identifier les mois exceptionnels de la décennie. Les maximums absolus correspondent aux vagues de froid historiques qui ont obligé la France à faire tourner son parc de production (étudié en Partie A) à plein régime.</w:t>
      </w:r>
    </w:p>
    <w:p w14:paraId="2055D5F9" w14:textId="77777777" w:rsidR="00E258E5" w:rsidRPr="00317E0D" w:rsidRDefault="00E258E5" w:rsidP="00E258E5">
      <w:pPr>
        <w:pStyle w:val="Titre2"/>
      </w:pPr>
      <w:bookmarkStart w:id="32" w:name="_Toc229338133"/>
      <w:r w:rsidRPr="00317E0D">
        <w:t>5. Conclusion de la Partie B</w:t>
      </w:r>
      <w:bookmarkEnd w:id="32"/>
    </w:p>
    <w:p w14:paraId="17FE7711" w14:textId="77777777" w:rsidR="00E258E5" w:rsidRPr="00F809E6" w:rsidRDefault="00E258E5" w:rsidP="00C32F90">
      <w:pPr>
        <w:rPr>
          <w:rFonts w:eastAsiaTheme="majorEastAsia"/>
        </w:rPr>
      </w:pPr>
      <w:r w:rsidRPr="00F809E6">
        <w:rPr>
          <w:rFonts w:eastAsiaTheme="majorEastAsia"/>
        </w:rPr>
        <w:t xml:space="preserve">L'analyse des données de consommation électrique entre 2011 et 2022 permet de tirer </w:t>
      </w:r>
      <w:r w:rsidRPr="00F809E6">
        <w:rPr>
          <w:rFonts w:eastAsiaTheme="majorEastAsia"/>
          <w:b/>
          <w:bCs/>
        </w:rPr>
        <w:t>trois grands enseignements</w:t>
      </w:r>
      <w:r w:rsidRPr="00F809E6">
        <w:rPr>
          <w:rFonts w:eastAsiaTheme="majorEastAsia"/>
        </w:rPr>
        <w:t xml:space="preserve"> :</w:t>
      </w:r>
    </w:p>
    <w:p w14:paraId="182A9734" w14:textId="77777777" w:rsidR="00E258E5" w:rsidRPr="00F809E6" w:rsidRDefault="00E258E5" w:rsidP="00C32F90">
      <w:pPr>
        <w:rPr>
          <w:rFonts w:eastAsiaTheme="majorEastAsia"/>
        </w:rPr>
      </w:pPr>
      <w:r w:rsidRPr="00F809E6">
        <w:rPr>
          <w:rFonts w:eastAsiaTheme="majorEastAsia"/>
          <w:b/>
          <w:bCs/>
        </w:rPr>
        <w:t>Une thermo sensibilité critique :</w:t>
      </w:r>
      <w:r w:rsidRPr="00F809E6">
        <w:rPr>
          <w:rFonts w:eastAsiaTheme="majorEastAsia"/>
        </w:rPr>
        <w:t xml:space="preserve"> L'omniprésence du chauffage électrique rend le réseau français extrêmement vulnérable au climat. La demande augmente de 185,2 GWh à chaque degré perdu en hiver.</w:t>
      </w:r>
    </w:p>
    <w:p w14:paraId="34F75911" w14:textId="77777777" w:rsidR="00E258E5" w:rsidRPr="00F809E6" w:rsidRDefault="00E258E5" w:rsidP="00C32F90">
      <w:pPr>
        <w:rPr>
          <w:rFonts w:eastAsiaTheme="majorEastAsia"/>
        </w:rPr>
      </w:pPr>
      <w:r w:rsidRPr="00F809E6">
        <w:rPr>
          <w:rFonts w:eastAsiaTheme="majorEastAsia"/>
          <w:b/>
          <w:bCs/>
        </w:rPr>
        <w:t>Une asymétrie des risques d'approvisionnement :</w:t>
      </w:r>
      <w:r w:rsidRPr="00F809E6">
        <w:rPr>
          <w:rFonts w:eastAsiaTheme="majorEastAsia"/>
        </w:rPr>
        <w:t xml:space="preserve"> Si la consommation estivale forme un "talon" stable et facile à anticiper, la période hivernale est soumise à une forte imprévisibilité statistique.</w:t>
      </w:r>
    </w:p>
    <w:p w14:paraId="1020BD57" w14:textId="77777777" w:rsidR="00E258E5" w:rsidRPr="00F809E6" w:rsidRDefault="00E258E5" w:rsidP="00C32F90">
      <w:pPr>
        <w:rPr>
          <w:rFonts w:eastAsiaTheme="majorEastAsia"/>
        </w:rPr>
      </w:pPr>
      <w:r w:rsidRPr="00F809E6">
        <w:rPr>
          <w:rFonts w:eastAsiaTheme="majorEastAsia"/>
          <w:b/>
          <w:bCs/>
        </w:rPr>
        <w:t>Un enjeu direct pour le parc de production :</w:t>
      </w:r>
      <w:r w:rsidRPr="00F809E6">
        <w:rPr>
          <w:rFonts w:eastAsiaTheme="majorEastAsia"/>
        </w:rPr>
        <w:t xml:space="preserve"> Ces pics hivernaux exigent une grande flexibilité. Comme vu en Partie A, la complémentarité entre le nucléaire, l'hydraulique et l'éolien est indispensable pour absorber ces variations extrêmes.</w:t>
      </w:r>
    </w:p>
    <w:p w14:paraId="530C761D" w14:textId="77777777" w:rsidR="00E258E5" w:rsidRPr="00F809E6" w:rsidRDefault="00E258E5" w:rsidP="00C32F90">
      <w:pPr>
        <w:rPr>
          <w:rFonts w:eastAsiaTheme="majorEastAsia"/>
        </w:rPr>
      </w:pPr>
      <w:r w:rsidRPr="00F809E6">
        <w:rPr>
          <w:rFonts w:eastAsiaTheme="majorEastAsia"/>
        </w:rPr>
        <w:t>Cette forte demande hivernale soulève un défi majeur : quand les sources bas-carbone ne suffisent plus à couvrir le pic de froid, le recours aux énergies fossiles devient inévitable. Ce constat fera l'objet de l'analyse sur les émissions de CO2 de la Partie C.</w:t>
      </w:r>
    </w:p>
    <w:p w14:paraId="01B63125" w14:textId="77777777" w:rsidR="00AF3BAB" w:rsidRDefault="00AF3BAB" w:rsidP="00E258E5"/>
    <w:p w14:paraId="74B41079" w14:textId="77777777" w:rsidR="00413718" w:rsidRDefault="00413718" w:rsidP="00E258E5"/>
    <w:p w14:paraId="11940F34" w14:textId="77777777" w:rsidR="00413718" w:rsidRDefault="00413718" w:rsidP="00E258E5"/>
    <w:p w14:paraId="5CD38840" w14:textId="77777777" w:rsidR="00413718" w:rsidRDefault="00413718" w:rsidP="00E258E5"/>
    <w:p w14:paraId="3CA832D6" w14:textId="77777777" w:rsidR="00413718" w:rsidRDefault="00413718" w:rsidP="00E258E5"/>
    <w:p w14:paraId="6C54A15E" w14:textId="77777777" w:rsidR="00413718" w:rsidRDefault="00413718" w:rsidP="00E258E5"/>
    <w:p w14:paraId="7AE44472" w14:textId="77777777" w:rsidR="00413718" w:rsidRDefault="00413718" w:rsidP="00E258E5"/>
    <w:p w14:paraId="3F055479" w14:textId="77777777" w:rsidR="00413718" w:rsidRDefault="00413718" w:rsidP="00E258E5"/>
    <w:p w14:paraId="71437AAB" w14:textId="77777777" w:rsidR="00413718" w:rsidRDefault="00413718" w:rsidP="00E258E5"/>
    <w:p w14:paraId="1F31608A" w14:textId="77777777" w:rsidR="00413718" w:rsidRDefault="00413718" w:rsidP="00E258E5"/>
    <w:p w14:paraId="6BC7DB69" w14:textId="77777777" w:rsidR="00413718" w:rsidRDefault="00413718" w:rsidP="00E258E5"/>
    <w:p w14:paraId="6495BF9D" w14:textId="77777777" w:rsidR="00413718" w:rsidRDefault="00413718" w:rsidP="00E258E5"/>
    <w:p w14:paraId="75AF9E08" w14:textId="77777777" w:rsidR="00413718" w:rsidRDefault="00413718" w:rsidP="00E258E5"/>
    <w:p w14:paraId="385AE7E6" w14:textId="77777777" w:rsidR="00413718" w:rsidRDefault="00413718" w:rsidP="00E258E5"/>
    <w:p w14:paraId="0EF10728" w14:textId="77777777" w:rsidR="00413718" w:rsidRDefault="00413718" w:rsidP="00E258E5"/>
    <w:p w14:paraId="01526B35" w14:textId="77777777" w:rsidR="00413718" w:rsidRDefault="00413718" w:rsidP="00E258E5"/>
    <w:p w14:paraId="318CA848" w14:textId="77777777" w:rsidR="00413718" w:rsidRDefault="00413718" w:rsidP="00413718">
      <w:pPr>
        <w:pStyle w:val="Titre1"/>
      </w:pPr>
      <w:bookmarkStart w:id="33" w:name="OLE_LINK1"/>
      <w:bookmarkStart w:id="34" w:name="_Toc229338134"/>
      <w:r>
        <w:lastRenderedPageBreak/>
        <w:t>Partie C : Mix énergétique, indépendance et CO2</w:t>
      </w:r>
      <w:bookmarkEnd w:id="34"/>
    </w:p>
    <w:p w14:paraId="7C20AB51" w14:textId="77777777" w:rsidR="00413718" w:rsidRDefault="00413718" w:rsidP="00413718">
      <w:pPr>
        <w:jc w:val="both"/>
      </w:pPr>
      <w:r>
        <w:tab/>
        <w:t>Dans cette partie, nous abordons l’évolution du mix énergétique français sur la période de notre travail, de 2006 à 2022, en observant son degré de dépendance et la corrélation entre la consommation d’énergie et les émissions de dioxyde de carbone (CO2).</w:t>
      </w:r>
    </w:p>
    <w:p w14:paraId="0C59487A" w14:textId="77777777" w:rsidR="00413718" w:rsidRPr="00002097" w:rsidRDefault="00413718" w:rsidP="00413718">
      <w:pPr>
        <w:jc w:val="both"/>
      </w:pPr>
    </w:p>
    <w:p w14:paraId="583E2225" w14:textId="77777777" w:rsidR="00413718" w:rsidRDefault="00413718" w:rsidP="00413718">
      <w:pPr>
        <w:pStyle w:val="Titre2"/>
        <w:numPr>
          <w:ilvl w:val="0"/>
          <w:numId w:val="23"/>
        </w:numPr>
      </w:pPr>
      <w:bookmarkStart w:id="35" w:name="_Toc229338135"/>
      <w:r>
        <w:t>Observation du mix énergétique</w:t>
      </w:r>
      <w:bookmarkEnd w:id="35"/>
    </w:p>
    <w:p w14:paraId="62B0DDA0" w14:textId="77777777" w:rsidR="00413718" w:rsidRDefault="00413718" w:rsidP="00413718">
      <w:r>
        <w:t>Le mix énergétique national s’observe avec deux grandes catégories de sources d’énergie : les énergies dites fossiles (charbon, pétrole, gaz) et les énergies dites décarbonées (le nucléaire et les énergies renouvelables).</w:t>
      </w:r>
    </w:p>
    <w:p w14:paraId="36332A74" w14:textId="77777777" w:rsidR="00413718" w:rsidRDefault="00413718" w:rsidP="00413718">
      <w:r>
        <w:rPr>
          <w:noProof/>
        </w:rPr>
        <w:drawing>
          <wp:inline distT="0" distB="0" distL="0" distR="0" wp14:anchorId="477717B9" wp14:editId="3ED5FADC">
            <wp:extent cx="5760720" cy="3035935"/>
            <wp:effectExtent l="0" t="0" r="17780" b="12065"/>
            <wp:docPr id="624462535" name="Graphique 1">
              <a:extLst xmlns:a="http://schemas.openxmlformats.org/drawingml/2006/main">
                <a:ext uri="{FF2B5EF4-FFF2-40B4-BE49-F238E27FC236}">
                  <a16:creationId xmlns:a16="http://schemas.microsoft.com/office/drawing/2014/main" id="{43001375-3B7D-16D5-EAC0-A06FC8EC67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3F06A1F" w14:textId="77777777" w:rsidR="00413718" w:rsidRDefault="00413718" w:rsidP="00413718">
      <w:pPr>
        <w:pStyle w:val="Sous-titre"/>
        <w:jc w:val="center"/>
      </w:pPr>
      <w:r>
        <w:t>Évolution du mix énergétique français</w:t>
      </w:r>
    </w:p>
    <w:p w14:paraId="19241A21" w14:textId="77777777" w:rsidR="00413718" w:rsidRDefault="00413718" w:rsidP="00413718">
      <w:r>
        <w:t>Nous pouvons observer sur ce graphique que les parts des différentes sources d’énergies sont assez stables sur toute la période étudiée. On peut observer une tendance à la baisse de la consommation du charbon.</w:t>
      </w:r>
    </w:p>
    <w:p w14:paraId="190B28ED" w14:textId="77777777" w:rsidR="00413718" w:rsidRDefault="00413718" w:rsidP="00413718"/>
    <w:p w14:paraId="5C2DC3C5" w14:textId="77777777" w:rsidR="00413718" w:rsidRDefault="00413718" w:rsidP="00413718">
      <w:r>
        <w:rPr>
          <w:noProof/>
        </w:rPr>
        <w:lastRenderedPageBreak/>
        <w:drawing>
          <wp:inline distT="0" distB="0" distL="0" distR="0" wp14:anchorId="32059DEB" wp14:editId="1C880B9A">
            <wp:extent cx="5760720" cy="3696335"/>
            <wp:effectExtent l="0" t="0" r="17780" b="12065"/>
            <wp:docPr id="1201841628" name="Graphique 1">
              <a:extLst xmlns:a="http://schemas.openxmlformats.org/drawingml/2006/main">
                <a:ext uri="{FF2B5EF4-FFF2-40B4-BE49-F238E27FC236}">
                  <a16:creationId xmlns:a16="http://schemas.microsoft.com/office/drawing/2014/main" id="{2CBC3DC2-1BBD-6ACC-6ED6-5950737226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2BC34D5" w14:textId="77777777" w:rsidR="00413718" w:rsidRDefault="00413718" w:rsidP="00413718">
      <w:pPr>
        <w:pStyle w:val="Sous-titre"/>
        <w:jc w:val="center"/>
      </w:pPr>
      <w:r>
        <w:t>Évolution du mix énergétique français</w:t>
      </w:r>
    </w:p>
    <w:p w14:paraId="6943A82B" w14:textId="77777777" w:rsidR="00413718" w:rsidRDefault="00413718" w:rsidP="00413718">
      <w:r>
        <w:t>Avec ce graphique, en moyenne sur cette période, nous pouvons observer également qu’il n’y a pas de différence assez franche entre ces deux types d’énergies, avec une tendance à être légèrement plus dépendant aux énergies fossiles.</w:t>
      </w:r>
    </w:p>
    <w:p w14:paraId="63975CD3" w14:textId="77777777" w:rsidR="00413718" w:rsidRPr="00F40E50" w:rsidRDefault="00413718" w:rsidP="00413718">
      <w:r>
        <w:br w:type="page"/>
      </w:r>
    </w:p>
    <w:p w14:paraId="40D0F760" w14:textId="77777777" w:rsidR="00413718" w:rsidRDefault="00413718" w:rsidP="00413718">
      <w:pPr>
        <w:pStyle w:val="Titre2"/>
        <w:numPr>
          <w:ilvl w:val="0"/>
          <w:numId w:val="23"/>
        </w:numPr>
      </w:pPr>
      <w:bookmarkStart w:id="36" w:name="_Toc229338136"/>
      <w:r>
        <w:lastRenderedPageBreak/>
        <w:t>Indépendance énergétique et flux commerciaux</w:t>
      </w:r>
      <w:bookmarkEnd w:id="36"/>
    </w:p>
    <w:p w14:paraId="2BAEE6DB" w14:textId="77777777" w:rsidR="00413718" w:rsidRDefault="00413718" w:rsidP="00413718">
      <w:r>
        <w:t>Nous savons que l’indépendance énergétique est un enjeu de souveraineté majeur. En France, notre parc de production d’énergies décarbonées est un avantage pour assurer à termes cet enjeu.</w:t>
      </w:r>
    </w:p>
    <w:tbl>
      <w:tblPr>
        <w:tblStyle w:val="Grilledutableau"/>
        <w:tblW w:w="0" w:type="auto"/>
        <w:tblLook w:val="04A0" w:firstRow="1" w:lastRow="0" w:firstColumn="1" w:lastColumn="0" w:noHBand="0" w:noVBand="1"/>
      </w:tblPr>
      <w:tblGrid>
        <w:gridCol w:w="4531"/>
        <w:gridCol w:w="4531"/>
      </w:tblGrid>
      <w:tr w:rsidR="00413718" w14:paraId="3BE18C8D" w14:textId="77777777" w:rsidTr="000158EE">
        <w:tc>
          <w:tcPr>
            <w:tcW w:w="4531" w:type="dxa"/>
          </w:tcPr>
          <w:p w14:paraId="6FDB363F" w14:textId="77777777" w:rsidR="00413718" w:rsidRDefault="00413718" w:rsidP="000158EE">
            <w:r>
              <w:t>Moyenne</w:t>
            </w:r>
          </w:p>
        </w:tc>
        <w:tc>
          <w:tcPr>
            <w:tcW w:w="4531" w:type="dxa"/>
          </w:tcPr>
          <w:p w14:paraId="47BD1528" w14:textId="77777777" w:rsidR="00413718" w:rsidRDefault="00413718" w:rsidP="000158EE">
            <w:r>
              <w:t>49,88865025</w:t>
            </w:r>
          </w:p>
        </w:tc>
      </w:tr>
      <w:tr w:rsidR="00413718" w14:paraId="7204065C" w14:textId="77777777" w:rsidTr="000158EE">
        <w:tc>
          <w:tcPr>
            <w:tcW w:w="4531" w:type="dxa"/>
          </w:tcPr>
          <w:p w14:paraId="56D9E213" w14:textId="77777777" w:rsidR="00413718" w:rsidRDefault="00413718" w:rsidP="000158EE">
            <w:r>
              <w:t>Écart-type</w:t>
            </w:r>
          </w:p>
        </w:tc>
        <w:tc>
          <w:tcPr>
            <w:tcW w:w="4531" w:type="dxa"/>
          </w:tcPr>
          <w:p w14:paraId="7FC2DF78" w14:textId="77777777" w:rsidR="00413718" w:rsidRDefault="00413718" w:rsidP="000158EE">
            <w:r>
              <w:t>1,552803715</w:t>
            </w:r>
          </w:p>
        </w:tc>
      </w:tr>
      <w:tr w:rsidR="00413718" w14:paraId="0E9319F0" w14:textId="77777777" w:rsidTr="000158EE">
        <w:tc>
          <w:tcPr>
            <w:tcW w:w="4531" w:type="dxa"/>
          </w:tcPr>
          <w:p w14:paraId="1F74FCB9" w14:textId="77777777" w:rsidR="00413718" w:rsidRDefault="00413718" w:rsidP="000158EE">
            <w:r>
              <w:t>Minimum</w:t>
            </w:r>
          </w:p>
        </w:tc>
        <w:tc>
          <w:tcPr>
            <w:tcW w:w="4531" w:type="dxa"/>
          </w:tcPr>
          <w:p w14:paraId="660FFE13" w14:textId="77777777" w:rsidR="00413718" w:rsidRDefault="00413718" w:rsidP="000158EE">
            <w:r>
              <w:t>44,884</w:t>
            </w:r>
          </w:p>
        </w:tc>
      </w:tr>
      <w:tr w:rsidR="00413718" w14:paraId="13095124" w14:textId="77777777" w:rsidTr="000158EE">
        <w:tc>
          <w:tcPr>
            <w:tcW w:w="4531" w:type="dxa"/>
          </w:tcPr>
          <w:p w14:paraId="3C56C968" w14:textId="77777777" w:rsidR="00413718" w:rsidRDefault="00413718" w:rsidP="000158EE">
            <w:r>
              <w:t>Maximum</w:t>
            </w:r>
          </w:p>
        </w:tc>
        <w:tc>
          <w:tcPr>
            <w:tcW w:w="4531" w:type="dxa"/>
          </w:tcPr>
          <w:p w14:paraId="68795D9D" w14:textId="77777777" w:rsidR="00413718" w:rsidRDefault="00413718" w:rsidP="000158EE">
            <w:r>
              <w:t>53,246</w:t>
            </w:r>
          </w:p>
        </w:tc>
      </w:tr>
    </w:tbl>
    <w:p w14:paraId="677A8447" w14:textId="77777777" w:rsidR="00413718" w:rsidRDefault="00413718" w:rsidP="00413718">
      <w:pPr>
        <w:pStyle w:val="Sous-titre"/>
        <w:jc w:val="center"/>
      </w:pPr>
      <w:r>
        <w:t>Analyse du taux d’indépendance</w:t>
      </w:r>
    </w:p>
    <w:p w14:paraId="62318C74" w14:textId="77777777" w:rsidR="00413718" w:rsidRDefault="00413718" w:rsidP="00413718">
      <w:r>
        <w:t>En moyenne, nous pouvons observer sur la période un taux d’indépendance d’environ 49,89%. Sur la période donnée, l’écart-type est d’environ 1,55%, ce qui montre une stabilité du taux d’indépendance. Il a pu évoluer d’environ 44,88% à 53,25%.</w:t>
      </w:r>
    </w:p>
    <w:p w14:paraId="21E6373A" w14:textId="77777777" w:rsidR="00413718" w:rsidRDefault="00413718" w:rsidP="00413718">
      <w:pPr>
        <w:jc w:val="center"/>
      </w:pPr>
      <w:r>
        <w:rPr>
          <w:noProof/>
        </w:rPr>
        <w:drawing>
          <wp:inline distT="0" distB="0" distL="0" distR="0" wp14:anchorId="2A31D482" wp14:editId="54B25698">
            <wp:extent cx="5769569" cy="3439324"/>
            <wp:effectExtent l="0" t="0" r="9525" b="15240"/>
            <wp:docPr id="19469367" name="Graphique 1">
              <a:extLst xmlns:a="http://schemas.openxmlformats.org/drawingml/2006/main">
                <a:ext uri="{FF2B5EF4-FFF2-40B4-BE49-F238E27FC236}">
                  <a16:creationId xmlns:a16="http://schemas.microsoft.com/office/drawing/2014/main" id="{29CF7E5B-066E-D215-86C0-9D1D580B35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7E173EE" w14:textId="77777777" w:rsidR="00413718" w:rsidRDefault="00413718" w:rsidP="00413718">
      <w:pPr>
        <w:pStyle w:val="Sous-titre"/>
        <w:jc w:val="center"/>
      </w:pPr>
      <w:r>
        <w:t>Imports et exports d’énergie par année</w:t>
      </w:r>
    </w:p>
    <w:p w14:paraId="3F292C5B" w14:textId="77777777" w:rsidR="00413718" w:rsidRPr="006228F0" w:rsidRDefault="00413718" w:rsidP="00413718">
      <w:r>
        <w:t>Nous pouvons observer ici que l’importation totale d’énergie est bien supérieure aux exportations totales. Précédemment nous avons observé une part significative était issue des hydrocarbures, dont le pétrole à 33% et le gaz à 16%. Ceux-ci sont issues majoritairement d’importations et correspondent à des utilisations qui ne peuvent pas être remplacées facilement, notamment pour le pétrole avec le secteur du transport par exemple. En contrepartie, notre parc nucléaire imposant permet d’être exportatrice nette dans la production et distribution d’électricité.</w:t>
      </w:r>
    </w:p>
    <w:p w14:paraId="2997700F" w14:textId="77777777" w:rsidR="00413718" w:rsidRDefault="00413718" w:rsidP="00413718">
      <w:r>
        <w:br w:type="page"/>
      </w:r>
    </w:p>
    <w:p w14:paraId="31B2B07D" w14:textId="77777777" w:rsidR="00413718" w:rsidRDefault="00413718" w:rsidP="00413718">
      <w:pPr>
        <w:pStyle w:val="Titre2"/>
        <w:numPr>
          <w:ilvl w:val="0"/>
          <w:numId w:val="23"/>
        </w:numPr>
      </w:pPr>
      <w:bookmarkStart w:id="37" w:name="_Toc229338137"/>
      <w:r>
        <w:lastRenderedPageBreak/>
        <w:t>Corrélation entre consommation et émission de CO2</w:t>
      </w:r>
      <w:bookmarkEnd w:id="37"/>
    </w:p>
    <w:p w14:paraId="2F29785D" w14:textId="77777777" w:rsidR="00413718" w:rsidRPr="00353553" w:rsidRDefault="00413718" w:rsidP="00413718">
      <w:r>
        <w:t>Cette section aborde le lien entre les émission de CO2 et la consommation d’énergie</w:t>
      </w:r>
    </w:p>
    <w:tbl>
      <w:tblPr>
        <w:tblpPr w:leftFromText="141" w:rightFromText="141" w:vertAnchor="text" w:horzAnchor="margin" w:tblpY="291"/>
        <w:tblW w:w="9324" w:type="dxa"/>
        <w:tblCellMar>
          <w:left w:w="70" w:type="dxa"/>
          <w:right w:w="70" w:type="dxa"/>
        </w:tblCellMar>
        <w:tblLook w:val="04A0" w:firstRow="1" w:lastRow="0" w:firstColumn="1" w:lastColumn="0" w:noHBand="0" w:noVBand="1"/>
      </w:tblPr>
      <w:tblGrid>
        <w:gridCol w:w="1920"/>
        <w:gridCol w:w="4146"/>
        <w:gridCol w:w="3258"/>
      </w:tblGrid>
      <w:tr w:rsidR="00413718" w:rsidRPr="003B7FB8" w14:paraId="29C6247B" w14:textId="77777777" w:rsidTr="000158EE">
        <w:trPr>
          <w:trHeight w:val="317"/>
        </w:trPr>
        <w:tc>
          <w:tcPr>
            <w:tcW w:w="1920" w:type="dxa"/>
            <w:tcBorders>
              <w:top w:val="single" w:sz="4" w:space="0" w:color="44B3E1"/>
              <w:left w:val="single" w:sz="4" w:space="0" w:color="44B3E1"/>
              <w:bottom w:val="single" w:sz="4" w:space="0" w:color="44B3E1"/>
              <w:right w:val="nil"/>
            </w:tcBorders>
            <w:shd w:val="clear" w:color="156082" w:fill="156082"/>
            <w:noWrap/>
            <w:vAlign w:val="bottom"/>
            <w:hideMark/>
          </w:tcPr>
          <w:p w14:paraId="64FB502A" w14:textId="77777777" w:rsidR="00413718" w:rsidRPr="003B7FB8" w:rsidRDefault="00413718" w:rsidP="000158EE">
            <w:pPr>
              <w:rPr>
                <w:rFonts w:ascii="Aptos Narrow" w:hAnsi="Aptos Narrow"/>
                <w:b/>
                <w:bCs/>
                <w:color w:val="FFFFFF"/>
                <w:lang w:eastAsia="fr-FR"/>
              </w:rPr>
            </w:pPr>
            <w:r>
              <w:rPr>
                <w:rFonts w:ascii="Aptos Narrow" w:hAnsi="Aptos Narrow"/>
                <w:b/>
                <w:bCs/>
                <w:color w:val="FFFFFF"/>
                <w:lang w:eastAsia="fr-FR"/>
              </w:rPr>
              <w:t>Type</w:t>
            </w:r>
          </w:p>
        </w:tc>
        <w:tc>
          <w:tcPr>
            <w:tcW w:w="4146" w:type="dxa"/>
            <w:tcBorders>
              <w:top w:val="single" w:sz="4" w:space="0" w:color="44B3E1"/>
              <w:left w:val="nil"/>
              <w:bottom w:val="single" w:sz="4" w:space="0" w:color="44B3E1"/>
              <w:right w:val="nil"/>
            </w:tcBorders>
            <w:shd w:val="clear" w:color="156082" w:fill="156082"/>
            <w:noWrap/>
            <w:vAlign w:val="bottom"/>
            <w:hideMark/>
          </w:tcPr>
          <w:p w14:paraId="183F46EF" w14:textId="77777777" w:rsidR="00413718" w:rsidRPr="003B7FB8" w:rsidRDefault="00413718" w:rsidP="000158EE">
            <w:pPr>
              <w:rPr>
                <w:rFonts w:ascii="Aptos Narrow" w:hAnsi="Aptos Narrow"/>
                <w:b/>
                <w:bCs/>
                <w:color w:val="FFFFFF"/>
                <w:lang w:eastAsia="fr-FR"/>
              </w:rPr>
            </w:pPr>
            <w:r w:rsidRPr="003B7FB8">
              <w:rPr>
                <w:rFonts w:ascii="Aptos Narrow" w:hAnsi="Aptos Narrow"/>
                <w:b/>
                <w:bCs/>
                <w:color w:val="FFFFFF"/>
                <w:lang w:eastAsia="fr-FR"/>
              </w:rPr>
              <w:t>Consommation totale - Emission CO2</w:t>
            </w:r>
          </w:p>
        </w:tc>
        <w:tc>
          <w:tcPr>
            <w:tcW w:w="3258" w:type="dxa"/>
            <w:tcBorders>
              <w:top w:val="single" w:sz="4" w:space="0" w:color="44B3E1"/>
              <w:left w:val="nil"/>
              <w:bottom w:val="single" w:sz="4" w:space="0" w:color="44B3E1"/>
              <w:right w:val="nil"/>
            </w:tcBorders>
            <w:shd w:val="clear" w:color="156082" w:fill="156082"/>
            <w:noWrap/>
            <w:vAlign w:val="bottom"/>
            <w:hideMark/>
          </w:tcPr>
          <w:p w14:paraId="4E90F2F9" w14:textId="77777777" w:rsidR="00413718" w:rsidRPr="003B7FB8" w:rsidRDefault="00413718" w:rsidP="000158EE">
            <w:pPr>
              <w:rPr>
                <w:rFonts w:ascii="Aptos Narrow" w:hAnsi="Aptos Narrow"/>
                <w:b/>
                <w:bCs/>
                <w:color w:val="FFFFFF"/>
                <w:lang w:eastAsia="fr-FR"/>
              </w:rPr>
            </w:pPr>
            <w:r w:rsidRPr="003B7FB8">
              <w:rPr>
                <w:rFonts w:ascii="Aptos Narrow" w:hAnsi="Aptos Narrow"/>
                <w:b/>
                <w:bCs/>
                <w:color w:val="FFFFFF"/>
                <w:lang w:eastAsia="fr-FR"/>
              </w:rPr>
              <w:t>Consommation fossiles - CO2</w:t>
            </w:r>
          </w:p>
        </w:tc>
      </w:tr>
      <w:tr w:rsidR="00413718" w:rsidRPr="003B7FB8" w14:paraId="546B2C72" w14:textId="77777777" w:rsidTr="000158EE">
        <w:trPr>
          <w:trHeight w:val="317"/>
        </w:trPr>
        <w:tc>
          <w:tcPr>
            <w:tcW w:w="1920" w:type="dxa"/>
            <w:tcBorders>
              <w:top w:val="single" w:sz="4" w:space="0" w:color="44B3E1"/>
              <w:left w:val="single" w:sz="4" w:space="0" w:color="44B3E1"/>
              <w:bottom w:val="single" w:sz="4" w:space="0" w:color="44B3E1"/>
              <w:right w:val="nil"/>
            </w:tcBorders>
            <w:shd w:val="clear" w:color="C0E6F5" w:fill="C0E6F5"/>
            <w:noWrap/>
            <w:vAlign w:val="bottom"/>
            <w:hideMark/>
          </w:tcPr>
          <w:p w14:paraId="31725D59" w14:textId="77777777" w:rsidR="00413718" w:rsidRPr="003B7FB8" w:rsidRDefault="00413718" w:rsidP="000158EE">
            <w:pPr>
              <w:rPr>
                <w:rFonts w:ascii="Aptos Narrow" w:hAnsi="Aptos Narrow"/>
                <w:color w:val="000000"/>
                <w:lang w:eastAsia="fr-FR"/>
              </w:rPr>
            </w:pPr>
            <w:r w:rsidRPr="003B7FB8">
              <w:rPr>
                <w:rFonts w:ascii="Aptos Narrow" w:hAnsi="Aptos Narrow"/>
                <w:color w:val="000000"/>
                <w:lang w:eastAsia="fr-FR"/>
              </w:rPr>
              <w:t xml:space="preserve">Coefficient de </w:t>
            </w:r>
            <w:proofErr w:type="spellStart"/>
            <w:r w:rsidRPr="003B7FB8">
              <w:rPr>
                <w:rFonts w:ascii="Aptos Narrow" w:hAnsi="Aptos Narrow"/>
                <w:color w:val="000000"/>
                <w:lang w:eastAsia="fr-FR"/>
              </w:rPr>
              <w:t>correlation</w:t>
            </w:r>
            <w:proofErr w:type="spellEnd"/>
          </w:p>
        </w:tc>
        <w:tc>
          <w:tcPr>
            <w:tcW w:w="4146" w:type="dxa"/>
            <w:tcBorders>
              <w:top w:val="single" w:sz="4" w:space="0" w:color="44B3E1"/>
              <w:left w:val="nil"/>
              <w:bottom w:val="single" w:sz="4" w:space="0" w:color="44B3E1"/>
              <w:right w:val="nil"/>
            </w:tcBorders>
            <w:shd w:val="clear" w:color="C0E6F5" w:fill="C0E6F5"/>
            <w:noWrap/>
            <w:vAlign w:val="bottom"/>
            <w:hideMark/>
          </w:tcPr>
          <w:p w14:paraId="0B73F0EF" w14:textId="77777777" w:rsidR="00413718" w:rsidRPr="003B7FB8" w:rsidRDefault="00413718" w:rsidP="000158EE">
            <w:pPr>
              <w:jc w:val="right"/>
              <w:rPr>
                <w:rFonts w:ascii="Aptos Narrow" w:hAnsi="Aptos Narrow"/>
                <w:color w:val="000000"/>
                <w:lang w:eastAsia="fr-FR"/>
              </w:rPr>
            </w:pPr>
            <w:r w:rsidRPr="003B7FB8">
              <w:rPr>
                <w:rFonts w:ascii="Aptos Narrow" w:hAnsi="Aptos Narrow"/>
                <w:color w:val="000000"/>
                <w:lang w:eastAsia="fr-FR"/>
              </w:rPr>
              <w:t>0,96603668</w:t>
            </w:r>
          </w:p>
        </w:tc>
        <w:tc>
          <w:tcPr>
            <w:tcW w:w="3258" w:type="dxa"/>
            <w:tcBorders>
              <w:top w:val="single" w:sz="4" w:space="0" w:color="44B3E1"/>
              <w:left w:val="nil"/>
              <w:bottom w:val="single" w:sz="4" w:space="0" w:color="44B3E1"/>
              <w:right w:val="nil"/>
            </w:tcBorders>
            <w:shd w:val="clear" w:color="C0E6F5" w:fill="C0E6F5"/>
            <w:noWrap/>
            <w:vAlign w:val="bottom"/>
            <w:hideMark/>
          </w:tcPr>
          <w:p w14:paraId="79EEACE1" w14:textId="77777777" w:rsidR="00413718" w:rsidRPr="003B7FB8" w:rsidRDefault="00413718" w:rsidP="000158EE">
            <w:pPr>
              <w:jc w:val="right"/>
              <w:rPr>
                <w:rFonts w:ascii="Aptos Narrow" w:hAnsi="Aptos Narrow"/>
                <w:color w:val="000000"/>
                <w:lang w:eastAsia="fr-FR"/>
              </w:rPr>
            </w:pPr>
            <w:r w:rsidRPr="003B7FB8">
              <w:rPr>
                <w:rFonts w:ascii="Aptos Narrow" w:hAnsi="Aptos Narrow"/>
                <w:color w:val="000000"/>
                <w:lang w:eastAsia="fr-FR"/>
              </w:rPr>
              <w:t>0,996866047</w:t>
            </w:r>
          </w:p>
        </w:tc>
      </w:tr>
      <w:tr w:rsidR="00413718" w:rsidRPr="003B7FB8" w14:paraId="28D7DCC2" w14:textId="77777777" w:rsidTr="000158EE">
        <w:trPr>
          <w:trHeight w:val="317"/>
        </w:trPr>
        <w:tc>
          <w:tcPr>
            <w:tcW w:w="1920" w:type="dxa"/>
            <w:tcBorders>
              <w:top w:val="single" w:sz="4" w:space="0" w:color="44B3E1"/>
              <w:left w:val="single" w:sz="4" w:space="0" w:color="44B3E1"/>
              <w:bottom w:val="single" w:sz="4" w:space="0" w:color="44B3E1"/>
              <w:right w:val="nil"/>
            </w:tcBorders>
            <w:noWrap/>
            <w:vAlign w:val="bottom"/>
            <w:hideMark/>
          </w:tcPr>
          <w:p w14:paraId="2E95033B" w14:textId="77777777" w:rsidR="00413718" w:rsidRPr="003B7FB8" w:rsidRDefault="00413718" w:rsidP="000158EE">
            <w:pPr>
              <w:rPr>
                <w:rFonts w:ascii="Aptos Narrow" w:hAnsi="Aptos Narrow"/>
                <w:color w:val="000000"/>
                <w:lang w:eastAsia="fr-FR"/>
              </w:rPr>
            </w:pPr>
            <w:r w:rsidRPr="003B7FB8">
              <w:rPr>
                <w:rFonts w:ascii="Aptos Narrow" w:hAnsi="Aptos Narrow"/>
                <w:color w:val="000000"/>
                <w:lang w:eastAsia="fr-FR"/>
              </w:rPr>
              <w:t>Coefficient de détermination</w:t>
            </w:r>
          </w:p>
        </w:tc>
        <w:tc>
          <w:tcPr>
            <w:tcW w:w="4146" w:type="dxa"/>
            <w:tcBorders>
              <w:top w:val="single" w:sz="4" w:space="0" w:color="44B3E1"/>
              <w:left w:val="nil"/>
              <w:bottom w:val="single" w:sz="4" w:space="0" w:color="44B3E1"/>
              <w:right w:val="nil"/>
            </w:tcBorders>
            <w:noWrap/>
            <w:vAlign w:val="bottom"/>
            <w:hideMark/>
          </w:tcPr>
          <w:p w14:paraId="25A9C4E7" w14:textId="77777777" w:rsidR="00413718" w:rsidRPr="003B7FB8" w:rsidRDefault="00413718" w:rsidP="000158EE">
            <w:pPr>
              <w:jc w:val="right"/>
              <w:rPr>
                <w:rFonts w:ascii="Aptos Narrow" w:hAnsi="Aptos Narrow"/>
                <w:color w:val="000000"/>
                <w:lang w:eastAsia="fr-FR"/>
              </w:rPr>
            </w:pPr>
            <w:r w:rsidRPr="003B7FB8">
              <w:rPr>
                <w:rFonts w:ascii="Aptos Narrow" w:hAnsi="Aptos Narrow"/>
                <w:color w:val="000000"/>
                <w:lang w:eastAsia="fr-FR"/>
              </w:rPr>
              <w:t>0,933226868</w:t>
            </w:r>
          </w:p>
        </w:tc>
        <w:tc>
          <w:tcPr>
            <w:tcW w:w="3258" w:type="dxa"/>
            <w:tcBorders>
              <w:top w:val="single" w:sz="4" w:space="0" w:color="44B3E1"/>
              <w:left w:val="nil"/>
              <w:bottom w:val="single" w:sz="4" w:space="0" w:color="44B3E1"/>
              <w:right w:val="nil"/>
            </w:tcBorders>
            <w:noWrap/>
            <w:vAlign w:val="bottom"/>
            <w:hideMark/>
          </w:tcPr>
          <w:p w14:paraId="7CF39CEB" w14:textId="77777777" w:rsidR="00413718" w:rsidRPr="003B7FB8" w:rsidRDefault="00413718" w:rsidP="000158EE">
            <w:pPr>
              <w:jc w:val="right"/>
              <w:rPr>
                <w:rFonts w:ascii="Aptos Narrow" w:hAnsi="Aptos Narrow"/>
                <w:color w:val="000000"/>
                <w:lang w:eastAsia="fr-FR"/>
              </w:rPr>
            </w:pPr>
          </w:p>
        </w:tc>
      </w:tr>
      <w:tr w:rsidR="00413718" w:rsidRPr="003B7FB8" w14:paraId="7DDE6FDE" w14:textId="77777777" w:rsidTr="000158EE">
        <w:trPr>
          <w:trHeight w:val="317"/>
        </w:trPr>
        <w:tc>
          <w:tcPr>
            <w:tcW w:w="1920" w:type="dxa"/>
            <w:tcBorders>
              <w:top w:val="single" w:sz="4" w:space="0" w:color="44B3E1"/>
              <w:left w:val="single" w:sz="4" w:space="0" w:color="44B3E1"/>
              <w:bottom w:val="single" w:sz="4" w:space="0" w:color="44B3E1"/>
              <w:right w:val="nil"/>
            </w:tcBorders>
            <w:shd w:val="clear" w:color="C0E6F5" w:fill="C0E6F5"/>
            <w:noWrap/>
            <w:vAlign w:val="bottom"/>
            <w:hideMark/>
          </w:tcPr>
          <w:p w14:paraId="7C3CBBD7" w14:textId="77777777" w:rsidR="00413718" w:rsidRPr="003B7FB8" w:rsidRDefault="00413718" w:rsidP="000158EE">
            <w:pPr>
              <w:rPr>
                <w:rFonts w:ascii="Aptos Narrow" w:hAnsi="Aptos Narrow"/>
                <w:color w:val="000000"/>
                <w:lang w:eastAsia="fr-FR"/>
              </w:rPr>
            </w:pPr>
            <w:r w:rsidRPr="003B7FB8">
              <w:rPr>
                <w:rFonts w:ascii="Aptos Narrow" w:hAnsi="Aptos Narrow"/>
                <w:color w:val="000000"/>
                <w:lang w:eastAsia="fr-FR"/>
              </w:rPr>
              <w:t>Pente de la droite</w:t>
            </w:r>
          </w:p>
        </w:tc>
        <w:tc>
          <w:tcPr>
            <w:tcW w:w="4146" w:type="dxa"/>
            <w:tcBorders>
              <w:top w:val="single" w:sz="4" w:space="0" w:color="44B3E1"/>
              <w:left w:val="nil"/>
              <w:bottom w:val="single" w:sz="4" w:space="0" w:color="44B3E1"/>
              <w:right w:val="nil"/>
            </w:tcBorders>
            <w:shd w:val="clear" w:color="C0E6F5" w:fill="C0E6F5"/>
            <w:noWrap/>
            <w:vAlign w:val="bottom"/>
            <w:hideMark/>
          </w:tcPr>
          <w:p w14:paraId="40FF1E3E" w14:textId="77777777" w:rsidR="00413718" w:rsidRPr="003B7FB8" w:rsidRDefault="00413718" w:rsidP="000158EE">
            <w:pPr>
              <w:jc w:val="right"/>
              <w:rPr>
                <w:rFonts w:ascii="Aptos Narrow" w:hAnsi="Aptos Narrow"/>
                <w:color w:val="000000"/>
                <w:lang w:eastAsia="fr-FR"/>
              </w:rPr>
            </w:pPr>
            <w:r w:rsidRPr="003B7FB8">
              <w:rPr>
                <w:rFonts w:ascii="Aptos Narrow" w:hAnsi="Aptos Narrow"/>
                <w:color w:val="000000"/>
                <w:lang w:eastAsia="fr-FR"/>
              </w:rPr>
              <w:t>0,132966056</w:t>
            </w:r>
          </w:p>
        </w:tc>
        <w:tc>
          <w:tcPr>
            <w:tcW w:w="3258" w:type="dxa"/>
            <w:tcBorders>
              <w:top w:val="single" w:sz="4" w:space="0" w:color="44B3E1"/>
              <w:left w:val="nil"/>
              <w:bottom w:val="single" w:sz="4" w:space="0" w:color="44B3E1"/>
              <w:right w:val="nil"/>
            </w:tcBorders>
            <w:shd w:val="clear" w:color="C0E6F5" w:fill="C0E6F5"/>
            <w:noWrap/>
            <w:vAlign w:val="bottom"/>
            <w:hideMark/>
          </w:tcPr>
          <w:p w14:paraId="1638032C" w14:textId="77777777" w:rsidR="00413718" w:rsidRPr="003B7FB8" w:rsidRDefault="00413718" w:rsidP="000158EE">
            <w:pPr>
              <w:jc w:val="right"/>
              <w:rPr>
                <w:rFonts w:ascii="Aptos Narrow" w:hAnsi="Aptos Narrow"/>
                <w:color w:val="000000"/>
                <w:lang w:eastAsia="fr-FR"/>
              </w:rPr>
            </w:pPr>
          </w:p>
        </w:tc>
      </w:tr>
      <w:tr w:rsidR="00413718" w:rsidRPr="003B7FB8" w14:paraId="06FD2BFA" w14:textId="77777777" w:rsidTr="000158EE">
        <w:trPr>
          <w:trHeight w:val="317"/>
        </w:trPr>
        <w:tc>
          <w:tcPr>
            <w:tcW w:w="1920" w:type="dxa"/>
            <w:tcBorders>
              <w:top w:val="single" w:sz="4" w:space="0" w:color="44B3E1"/>
              <w:left w:val="single" w:sz="4" w:space="0" w:color="44B3E1"/>
              <w:bottom w:val="single" w:sz="4" w:space="0" w:color="44B3E1"/>
              <w:right w:val="nil"/>
            </w:tcBorders>
            <w:noWrap/>
            <w:vAlign w:val="bottom"/>
            <w:hideMark/>
          </w:tcPr>
          <w:p w14:paraId="5976A363" w14:textId="77777777" w:rsidR="00413718" w:rsidRPr="003B7FB8" w:rsidRDefault="00413718" w:rsidP="000158EE">
            <w:pPr>
              <w:rPr>
                <w:rFonts w:ascii="Aptos Narrow" w:hAnsi="Aptos Narrow"/>
                <w:color w:val="000000"/>
                <w:lang w:eastAsia="fr-FR"/>
              </w:rPr>
            </w:pPr>
            <w:r w:rsidRPr="003B7FB8">
              <w:rPr>
                <w:rFonts w:ascii="Aptos Narrow" w:hAnsi="Aptos Narrow"/>
                <w:color w:val="000000"/>
                <w:lang w:eastAsia="fr-FR"/>
              </w:rPr>
              <w:t>Ordonnée à l'origine</w:t>
            </w:r>
          </w:p>
        </w:tc>
        <w:tc>
          <w:tcPr>
            <w:tcW w:w="4146" w:type="dxa"/>
            <w:tcBorders>
              <w:top w:val="single" w:sz="4" w:space="0" w:color="44B3E1"/>
              <w:left w:val="nil"/>
              <w:bottom w:val="single" w:sz="4" w:space="0" w:color="44B3E1"/>
              <w:right w:val="nil"/>
            </w:tcBorders>
            <w:noWrap/>
            <w:vAlign w:val="bottom"/>
            <w:hideMark/>
          </w:tcPr>
          <w:p w14:paraId="37670407" w14:textId="77777777" w:rsidR="00413718" w:rsidRPr="003B7FB8" w:rsidRDefault="00413718" w:rsidP="000158EE">
            <w:pPr>
              <w:jc w:val="right"/>
              <w:rPr>
                <w:rFonts w:ascii="Aptos Narrow" w:hAnsi="Aptos Narrow"/>
                <w:color w:val="000000"/>
                <w:lang w:eastAsia="fr-FR"/>
              </w:rPr>
            </w:pPr>
            <w:r w:rsidRPr="003B7FB8">
              <w:rPr>
                <w:rFonts w:ascii="Aptos Narrow" w:hAnsi="Aptos Narrow"/>
                <w:color w:val="000000"/>
                <w:lang w:eastAsia="fr-FR"/>
              </w:rPr>
              <w:t>-2978,634937</w:t>
            </w:r>
          </w:p>
        </w:tc>
        <w:tc>
          <w:tcPr>
            <w:tcW w:w="3258" w:type="dxa"/>
            <w:tcBorders>
              <w:top w:val="single" w:sz="4" w:space="0" w:color="44B3E1"/>
              <w:left w:val="nil"/>
              <w:bottom w:val="single" w:sz="4" w:space="0" w:color="44B3E1"/>
              <w:right w:val="nil"/>
            </w:tcBorders>
            <w:noWrap/>
            <w:vAlign w:val="bottom"/>
            <w:hideMark/>
          </w:tcPr>
          <w:p w14:paraId="06124C13" w14:textId="77777777" w:rsidR="00413718" w:rsidRPr="003B7FB8" w:rsidRDefault="00413718" w:rsidP="000158EE">
            <w:pPr>
              <w:jc w:val="right"/>
              <w:rPr>
                <w:rFonts w:ascii="Aptos Narrow" w:hAnsi="Aptos Narrow"/>
                <w:color w:val="000000"/>
                <w:lang w:eastAsia="fr-FR"/>
              </w:rPr>
            </w:pPr>
          </w:p>
        </w:tc>
      </w:tr>
    </w:tbl>
    <w:p w14:paraId="398CDCB4" w14:textId="77777777" w:rsidR="00413718" w:rsidRDefault="00413718" w:rsidP="00413718"/>
    <w:p w14:paraId="6BFBB8C9" w14:textId="77777777" w:rsidR="00413718" w:rsidRDefault="00413718" w:rsidP="00413718">
      <w:r>
        <w:t xml:space="preserve">Si nous pouvons voir une forte corrélation entre la consommation totale et les émissions de CO2, elle est encore plus forte avec les énergies fossiles. Cela s’explique avec plusieurs informations. Lors de l’analyse du mix énergétique, les parts restent assez stables sur les proportions des sources d’énergies au fil des années. </w:t>
      </w:r>
    </w:p>
    <w:p w14:paraId="32ECD73B" w14:textId="77777777" w:rsidR="00413718" w:rsidRDefault="00413718" w:rsidP="00413718">
      <w:r>
        <w:rPr>
          <w:noProof/>
        </w:rPr>
        <w:lastRenderedPageBreak/>
        <w:drawing>
          <wp:inline distT="0" distB="0" distL="0" distR="0" wp14:anchorId="58B0D71D" wp14:editId="133961D5">
            <wp:extent cx="5899150" cy="4572000"/>
            <wp:effectExtent l="0" t="0" r="6350" b="12700"/>
            <wp:docPr id="2040429299" name="Graphique 1">
              <a:extLst xmlns:a="http://schemas.openxmlformats.org/drawingml/2006/main">
                <a:ext uri="{FF2B5EF4-FFF2-40B4-BE49-F238E27FC236}">
                  <a16:creationId xmlns:a16="http://schemas.microsoft.com/office/drawing/2014/main" id="{8D631935-22F4-0E3B-0CF5-44F5AD5409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309AE9A" w14:textId="77777777" w:rsidR="00413718" w:rsidRDefault="00413718" w:rsidP="00413718">
      <w:pPr>
        <w:pStyle w:val="Sous-titre"/>
        <w:jc w:val="center"/>
      </w:pPr>
      <w:r>
        <w:t>Lien entre consommation d’énergies fossiles et émissions de CO2</w:t>
      </w:r>
    </w:p>
    <w:p w14:paraId="657C1E50" w14:textId="77777777" w:rsidR="00413718" w:rsidRDefault="00413718" w:rsidP="00413718">
      <w:pPr>
        <w:rPr>
          <w:i/>
          <w:iCs/>
        </w:rPr>
      </w:pPr>
      <w:r>
        <w:rPr>
          <w:i/>
          <w:iCs/>
        </w:rPr>
        <w:t>Note : en abscisse la consommation d’énergie fossile en GWh, et en ordonnée les émissions de CO2 en kilotonnes.</w:t>
      </w:r>
    </w:p>
    <w:p w14:paraId="65A3D121" w14:textId="77777777" w:rsidR="00413718" w:rsidRDefault="00413718" w:rsidP="00413718">
      <w:r>
        <w:t>Mais si la corrélation est plus forte avec les énergies fossiles, c’est parce que l’émission de CO2 est calculée sur la combustion des énergies fossiles. Ce graphique nous montre le lien donc entre les énergies fossiles et l’émission de CO2.</w:t>
      </w:r>
      <w:bookmarkEnd w:id="33"/>
    </w:p>
    <w:p w14:paraId="589AD8AC" w14:textId="77777777" w:rsidR="00413718" w:rsidRPr="007B7595" w:rsidRDefault="00413718" w:rsidP="00413718"/>
    <w:p w14:paraId="4B3DDAFA" w14:textId="07AE71D6" w:rsidR="00FF695A" w:rsidRDefault="001B23F0" w:rsidP="001B23F0">
      <w:pPr>
        <w:pStyle w:val="Titre1"/>
      </w:pPr>
      <w:bookmarkStart w:id="38" w:name="_Toc229338138"/>
      <w:r>
        <w:t>Conclusion général</w:t>
      </w:r>
      <w:bookmarkEnd w:id="38"/>
    </w:p>
    <w:p w14:paraId="1EC6B61F" w14:textId="2DE021AA" w:rsidR="006A411A" w:rsidRDefault="006A411A" w:rsidP="006A411A">
      <w:r w:rsidRPr="006A411A">
        <w:t>Au terme de cette étude croisée, plusieurs grands enseignements se dégagent du système énergétique français entre 2006 et 2022.</w:t>
      </w:r>
    </w:p>
    <w:p w14:paraId="1909C02C" w14:textId="77777777" w:rsidR="006A411A" w:rsidRDefault="006A411A" w:rsidP="006A411A"/>
    <w:p w14:paraId="48DF66FB" w14:textId="77777777" w:rsidR="006A411A" w:rsidRPr="006A411A" w:rsidRDefault="006A411A" w:rsidP="006A411A">
      <w:r w:rsidRPr="006A411A">
        <w:rPr>
          <w:b/>
          <w:bCs/>
        </w:rPr>
        <w:t>Sur la production électrique (Partie A)</w:t>
      </w:r>
      <w:r w:rsidRPr="006A411A">
        <w:t xml:space="preserve">, le mix français reste profondément marqué par le poids du nucléaire, qui représente encore plus des deux tiers de la production. Toutefois, la dynamique des dernières années montre une transformation en cours : l'éolien a vu sa production multipliée par près de 17, le solaire est passé d'une production marginale à plus de 18 000 GWh annuels, tandis que l'hydraulique reste stable mais soumise aux aléas climatiques. La </w:t>
      </w:r>
      <w:r w:rsidRPr="006A411A">
        <w:lastRenderedPageBreak/>
        <w:t>crise de corrosion sous contrainte (CSC) de 2022 a par ailleurs révélé la fragilité d'un système trop concentré sur une seule source.</w:t>
      </w:r>
    </w:p>
    <w:p w14:paraId="3D7E8ED7" w14:textId="4B6DFAAA" w:rsidR="006A411A" w:rsidRDefault="006A411A" w:rsidP="006A411A">
      <w:r w:rsidRPr="006A411A">
        <w:rPr>
          <w:b/>
          <w:bCs/>
        </w:rPr>
        <w:t>Sur la consommation électrique (Partie B)</w:t>
      </w:r>
      <w:r w:rsidRPr="006A411A">
        <w:t xml:space="preserve">, l'analyse a mis en évidence une </w:t>
      </w:r>
      <w:r w:rsidRPr="006A411A">
        <w:rPr>
          <w:b/>
          <w:bCs/>
        </w:rPr>
        <w:t xml:space="preserve">forte </w:t>
      </w:r>
      <w:r w:rsidR="004B1F62" w:rsidRPr="006A411A">
        <w:rPr>
          <w:b/>
          <w:bCs/>
        </w:rPr>
        <w:t>thermo sensibilité</w:t>
      </w:r>
      <w:r w:rsidRPr="006A411A">
        <w:t xml:space="preserve"> de la France : la consommation suit étroitement les variations de rigueur climatique, avec une régression linéaire (R² = 0,59) qui confirme statistiquement le lien entre degrés jours unifiés et consommation mensuelle. La part importante du chauffage électrique dans le pays explique cette vulnérabilité aux hivers rigoureux, vulnérabilité qui interroge la résilience du système énergétique face au changement climatique.</w:t>
      </w:r>
    </w:p>
    <w:p w14:paraId="615CBAF0" w14:textId="77777777" w:rsidR="004B1F62" w:rsidRPr="006A411A" w:rsidRDefault="004B1F62" w:rsidP="006A411A"/>
    <w:p w14:paraId="3B3A97E9" w14:textId="77777777" w:rsidR="006A411A" w:rsidRDefault="006A411A" w:rsidP="006A411A">
      <w:r w:rsidRPr="006A411A">
        <w:rPr>
          <w:b/>
          <w:bCs/>
        </w:rPr>
        <w:t>Sur le mix énergétique global et les émissions de CO2 (Partie C)</w:t>
      </w:r>
      <w:r w:rsidRPr="006A411A">
        <w:t xml:space="preserve">, deux constats forts émergent. D'une part, la France demeure largement dépendante des importations de pétrole et de gaz, son taux d'indépendance énergétique restant majoritairement porté par le seul nucléaire. D'autre part, la corrélation </w:t>
      </w:r>
      <w:r w:rsidRPr="006A411A">
        <w:rPr>
          <w:b/>
          <w:bCs/>
        </w:rPr>
        <w:t>quasi parfaite (r = 0,997, R² = 0,994)</w:t>
      </w:r>
      <w:r w:rsidRPr="006A411A">
        <w:t xml:space="preserve"> entre consommation d'énergies fossiles et émissions de CO2 démontre que la décarbonation passera nécessairement par une réduction de cette consommation, et non par des ajustements à la marge.</w:t>
      </w:r>
    </w:p>
    <w:p w14:paraId="6D4DD765" w14:textId="77777777" w:rsidR="004B1F62" w:rsidRPr="006A411A" w:rsidRDefault="004B1F62" w:rsidP="006A411A"/>
    <w:p w14:paraId="51E29C43" w14:textId="77777777" w:rsidR="006A411A" w:rsidRDefault="006A411A" w:rsidP="006A411A">
      <w:r w:rsidRPr="006A411A">
        <w:rPr>
          <w:b/>
          <w:bCs/>
        </w:rPr>
        <w:t>En croisant les trois parties</w:t>
      </w:r>
      <w:r w:rsidRPr="006A411A">
        <w:t xml:space="preserve">, une cohérence d'ensemble apparaît : la France dispose d'un atout majeur avec son électricité décarbonée, mais cet atout est insuffisant tant que les usages fossiles (transport, chauffage non électrique, industrie) dominent la consommation finale. La transition énergétique française repose donc sur un double mouvement : </w:t>
      </w:r>
      <w:r w:rsidRPr="006A411A">
        <w:rPr>
          <w:b/>
          <w:bCs/>
        </w:rPr>
        <w:t>augmenter la production électrique bas carbone</w:t>
      </w:r>
      <w:r w:rsidRPr="006A411A">
        <w:t xml:space="preserve"> (renouvelables + maintien d'un parc nucléaire fiable) et </w:t>
      </w:r>
      <w:r w:rsidRPr="006A411A">
        <w:rPr>
          <w:b/>
          <w:bCs/>
        </w:rPr>
        <w:t>électrifier les usages aujourd'hui carbonés</w:t>
      </w:r>
      <w:r w:rsidRPr="006A411A">
        <w:t>.</w:t>
      </w:r>
    </w:p>
    <w:p w14:paraId="699D4EEB" w14:textId="77777777" w:rsidR="004B1F62" w:rsidRPr="006A411A" w:rsidRDefault="004B1F62" w:rsidP="006A411A"/>
    <w:p w14:paraId="7D918F47" w14:textId="77777777" w:rsidR="006A411A" w:rsidRPr="006A411A" w:rsidRDefault="006A411A" w:rsidP="006A411A">
      <w:r w:rsidRPr="006A411A">
        <w:t>Cette étude, bien que limitée aux données mensuelles agrégées au niveau national, montre tout l'intérêt d'une approche statistique pour objectiver des débats souvent dominés par les opinions. Une analyse à granularité plus fine (régionale, voire infra-journalière) permettrait d'aller plus loin, notamment sur la question de l'intermittence des renouvelables et de l'équilibre offre-demande en temps réel.</w:t>
      </w:r>
    </w:p>
    <w:p w14:paraId="6CE93A29" w14:textId="77777777" w:rsidR="006A411A" w:rsidRPr="006A411A" w:rsidRDefault="006A411A" w:rsidP="006A411A"/>
    <w:sectPr w:rsidR="006A411A" w:rsidRPr="006A411A">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28A41" w14:textId="77777777" w:rsidR="003B39D6" w:rsidRDefault="003B39D6">
      <w:r>
        <w:separator/>
      </w:r>
    </w:p>
  </w:endnote>
  <w:endnote w:type="continuationSeparator" w:id="0">
    <w:p w14:paraId="516368DE" w14:textId="77777777" w:rsidR="003B39D6" w:rsidRDefault="003B3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620B0" w14:textId="77777777" w:rsidR="003B39D6" w:rsidRDefault="003B39D6">
      <w:r>
        <w:rPr>
          <w:color w:val="000000"/>
        </w:rPr>
        <w:separator/>
      </w:r>
    </w:p>
  </w:footnote>
  <w:footnote w:type="continuationSeparator" w:id="0">
    <w:p w14:paraId="4E805284" w14:textId="77777777" w:rsidR="003B39D6" w:rsidRDefault="003B3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167"/>
    <w:multiLevelType w:val="multilevel"/>
    <w:tmpl w:val="AFA8374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 w15:restartNumberingAfterBreak="0">
    <w:nsid w:val="08247EDB"/>
    <w:multiLevelType w:val="multilevel"/>
    <w:tmpl w:val="B21EDE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8E26E4F"/>
    <w:multiLevelType w:val="hybridMultilevel"/>
    <w:tmpl w:val="26B09D8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C19501F"/>
    <w:multiLevelType w:val="hybridMultilevel"/>
    <w:tmpl w:val="6D4C9D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622E6B"/>
    <w:multiLevelType w:val="multilevel"/>
    <w:tmpl w:val="F022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93E4C"/>
    <w:multiLevelType w:val="multilevel"/>
    <w:tmpl w:val="2ECCC1C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A9464D7"/>
    <w:multiLevelType w:val="multilevel"/>
    <w:tmpl w:val="77EC15E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C145C8D"/>
    <w:multiLevelType w:val="multilevel"/>
    <w:tmpl w:val="C56A0902"/>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261C46C0"/>
    <w:multiLevelType w:val="multilevel"/>
    <w:tmpl w:val="00DC40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29111EE7"/>
    <w:multiLevelType w:val="hybridMultilevel"/>
    <w:tmpl w:val="8E3E7C1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F1A3EE4"/>
    <w:multiLevelType w:val="hybridMultilevel"/>
    <w:tmpl w:val="F0D838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3767BA0"/>
    <w:multiLevelType w:val="multilevel"/>
    <w:tmpl w:val="E1B8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F0050"/>
    <w:multiLevelType w:val="multilevel"/>
    <w:tmpl w:val="5674F5C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3" w15:restartNumberingAfterBreak="0">
    <w:nsid w:val="38C92F90"/>
    <w:multiLevelType w:val="multilevel"/>
    <w:tmpl w:val="C02A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A74646"/>
    <w:multiLevelType w:val="hybridMultilevel"/>
    <w:tmpl w:val="5A30380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43D93104"/>
    <w:multiLevelType w:val="multilevel"/>
    <w:tmpl w:val="38E2A6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48EC5588"/>
    <w:multiLevelType w:val="multilevel"/>
    <w:tmpl w:val="FF4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3691C"/>
    <w:multiLevelType w:val="multilevel"/>
    <w:tmpl w:val="29BECD9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58F049C2"/>
    <w:multiLevelType w:val="multilevel"/>
    <w:tmpl w:val="CC8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E0602"/>
    <w:multiLevelType w:val="hybridMultilevel"/>
    <w:tmpl w:val="7B5A9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9F52BEA"/>
    <w:multiLevelType w:val="multilevel"/>
    <w:tmpl w:val="B2CE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9A65A1"/>
    <w:multiLevelType w:val="multilevel"/>
    <w:tmpl w:val="1D9C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7544CE"/>
    <w:multiLevelType w:val="hybridMultilevel"/>
    <w:tmpl w:val="8BA6C9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5626498">
    <w:abstractNumId w:val="8"/>
  </w:num>
  <w:num w:numId="2" w16cid:durableId="2114087451">
    <w:abstractNumId w:val="19"/>
  </w:num>
  <w:num w:numId="3" w16cid:durableId="1349793881">
    <w:abstractNumId w:val="13"/>
  </w:num>
  <w:num w:numId="4" w16cid:durableId="1514688362">
    <w:abstractNumId w:val="6"/>
  </w:num>
  <w:num w:numId="5" w16cid:durableId="1167163114">
    <w:abstractNumId w:val="14"/>
  </w:num>
  <w:num w:numId="6" w16cid:durableId="1710229261">
    <w:abstractNumId w:val="7"/>
  </w:num>
  <w:num w:numId="7" w16cid:durableId="1952391584">
    <w:abstractNumId w:val="17"/>
  </w:num>
  <w:num w:numId="8" w16cid:durableId="767694142">
    <w:abstractNumId w:val="5"/>
  </w:num>
  <w:num w:numId="9" w16cid:durableId="1032608256">
    <w:abstractNumId w:val="1"/>
  </w:num>
  <w:num w:numId="10" w16cid:durableId="835799856">
    <w:abstractNumId w:val="0"/>
  </w:num>
  <w:num w:numId="11" w16cid:durableId="2054621986">
    <w:abstractNumId w:val="12"/>
  </w:num>
  <w:num w:numId="12" w16cid:durableId="1420641370">
    <w:abstractNumId w:val="15"/>
  </w:num>
  <w:num w:numId="13" w16cid:durableId="1627084944">
    <w:abstractNumId w:val="11"/>
  </w:num>
  <w:num w:numId="14" w16cid:durableId="1438717859">
    <w:abstractNumId w:val="18"/>
  </w:num>
  <w:num w:numId="15" w16cid:durableId="670567574">
    <w:abstractNumId w:val="21"/>
  </w:num>
  <w:num w:numId="16" w16cid:durableId="691222902">
    <w:abstractNumId w:val="20"/>
  </w:num>
  <w:num w:numId="17" w16cid:durableId="858738275">
    <w:abstractNumId w:val="22"/>
  </w:num>
  <w:num w:numId="18" w16cid:durableId="2130969142">
    <w:abstractNumId w:val="3"/>
  </w:num>
  <w:num w:numId="19" w16cid:durableId="1521116953">
    <w:abstractNumId w:val="16"/>
  </w:num>
  <w:num w:numId="20" w16cid:durableId="642349824">
    <w:abstractNumId w:val="2"/>
  </w:num>
  <w:num w:numId="21" w16cid:durableId="1061517901">
    <w:abstractNumId w:val="9"/>
  </w:num>
  <w:num w:numId="22" w16cid:durableId="20202645">
    <w:abstractNumId w:val="4"/>
  </w:num>
  <w:num w:numId="23" w16cid:durableId="809175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70A97"/>
    <w:rsid w:val="000C66D7"/>
    <w:rsid w:val="000D7BF3"/>
    <w:rsid w:val="000F042A"/>
    <w:rsid w:val="00163EF7"/>
    <w:rsid w:val="001B23F0"/>
    <w:rsid w:val="003B39D6"/>
    <w:rsid w:val="00413718"/>
    <w:rsid w:val="004B1F62"/>
    <w:rsid w:val="005A36B5"/>
    <w:rsid w:val="006A411A"/>
    <w:rsid w:val="0074513E"/>
    <w:rsid w:val="007E6908"/>
    <w:rsid w:val="0080560C"/>
    <w:rsid w:val="00870A97"/>
    <w:rsid w:val="00937950"/>
    <w:rsid w:val="00AC5093"/>
    <w:rsid w:val="00AF3BAB"/>
    <w:rsid w:val="00B45F21"/>
    <w:rsid w:val="00B858A5"/>
    <w:rsid w:val="00B93A9D"/>
    <w:rsid w:val="00C06807"/>
    <w:rsid w:val="00C32F90"/>
    <w:rsid w:val="00CF20F2"/>
    <w:rsid w:val="00D80BDE"/>
    <w:rsid w:val="00E258E5"/>
    <w:rsid w:val="00EB2A7E"/>
    <w:rsid w:val="00F90B25"/>
    <w:rsid w:val="00FF69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5942"/>
  <w15:docId w15:val="{97702D56-CF78-4444-A9B5-98159146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fr-FR"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E w:val="0"/>
      <w:spacing w:after="0" w:line="240" w:lineRule="auto"/>
    </w:pPr>
    <w:rPr>
      <w:rFonts w:eastAsia="Times New Roman"/>
      <w:kern w:val="0"/>
      <w:sz w:val="28"/>
    </w:rPr>
  </w:style>
  <w:style w:type="paragraph" w:styleId="Titre1">
    <w:name w:val="heading 1"/>
    <w:basedOn w:val="Normal"/>
    <w:next w:val="Normal"/>
    <w:uiPriority w:val="9"/>
    <w:qFormat/>
    <w:pPr>
      <w:keepNext/>
      <w:keepLines/>
      <w:spacing w:before="360" w:after="80"/>
      <w:outlineLvl w:val="0"/>
    </w:pPr>
    <w:rPr>
      <w:rFonts w:ascii="Calibri Light" w:hAnsi="Calibri Light"/>
      <w:color w:val="000000"/>
      <w:kern w:val="3"/>
      <w:sz w:val="40"/>
      <w:szCs w:val="40"/>
    </w:rPr>
  </w:style>
  <w:style w:type="paragraph" w:styleId="Titre2">
    <w:name w:val="heading 2"/>
    <w:basedOn w:val="Normal"/>
    <w:next w:val="Normal"/>
    <w:uiPriority w:val="9"/>
    <w:unhideWhenUsed/>
    <w:qFormat/>
    <w:pPr>
      <w:keepNext/>
      <w:keepLines/>
      <w:spacing w:before="160" w:after="80"/>
      <w:outlineLvl w:val="1"/>
    </w:pPr>
    <w:rPr>
      <w:rFonts w:ascii="Calibri Light" w:hAnsi="Calibri Light"/>
      <w:color w:val="000000"/>
      <w:kern w:val="3"/>
      <w:sz w:val="36"/>
      <w:szCs w:val="32"/>
    </w:rPr>
  </w:style>
  <w:style w:type="paragraph" w:styleId="Titre3">
    <w:name w:val="heading 3"/>
    <w:basedOn w:val="Normal"/>
    <w:next w:val="Normal"/>
    <w:uiPriority w:val="9"/>
    <w:semiHidden/>
    <w:unhideWhenUsed/>
    <w:qFormat/>
    <w:rsid w:val="000C66D7"/>
    <w:pPr>
      <w:keepNext/>
      <w:keepLines/>
      <w:spacing w:before="160" w:after="80"/>
      <w:outlineLvl w:val="2"/>
    </w:pPr>
    <w:rPr>
      <w:color w:val="000000" w:themeColor="text1"/>
      <w:sz w:val="32"/>
      <w:szCs w:val="28"/>
    </w:rPr>
  </w:style>
  <w:style w:type="paragraph" w:styleId="Titre4">
    <w:name w:val="heading 4"/>
    <w:basedOn w:val="Normal"/>
    <w:next w:val="Normal"/>
    <w:uiPriority w:val="9"/>
    <w:semiHidden/>
    <w:unhideWhenUsed/>
    <w:qFormat/>
    <w:pPr>
      <w:keepNext/>
      <w:keepLines/>
      <w:spacing w:before="80" w:after="40"/>
      <w:outlineLvl w:val="3"/>
    </w:pPr>
    <w:rPr>
      <w:i/>
      <w:iCs/>
      <w:color w:val="2F5496"/>
    </w:rPr>
  </w:style>
  <w:style w:type="paragraph" w:styleId="Titre5">
    <w:name w:val="heading 5"/>
    <w:basedOn w:val="Normal"/>
    <w:next w:val="Normal"/>
    <w:uiPriority w:val="9"/>
    <w:semiHidden/>
    <w:unhideWhenUsed/>
    <w:qFormat/>
    <w:pPr>
      <w:keepNext/>
      <w:keepLines/>
      <w:spacing w:before="80" w:after="40"/>
      <w:outlineLvl w:val="4"/>
    </w:pPr>
    <w:rPr>
      <w:color w:val="2F5496"/>
    </w:rPr>
  </w:style>
  <w:style w:type="paragraph" w:styleId="Titre6">
    <w:name w:val="heading 6"/>
    <w:basedOn w:val="Normal"/>
    <w:next w:val="Normal"/>
    <w:uiPriority w:val="9"/>
    <w:semiHidden/>
    <w:unhideWhenUsed/>
    <w:qFormat/>
    <w:pPr>
      <w:keepNext/>
      <w:keepLines/>
      <w:spacing w:before="40"/>
      <w:outlineLvl w:val="5"/>
    </w:pPr>
    <w:rPr>
      <w:i/>
      <w:iCs/>
      <w:color w:val="595959"/>
    </w:rPr>
  </w:style>
  <w:style w:type="paragraph" w:styleId="Titre7">
    <w:name w:val="heading 7"/>
    <w:basedOn w:val="Normal"/>
    <w:next w:val="Normal"/>
    <w:pPr>
      <w:keepNext/>
      <w:keepLines/>
      <w:spacing w:before="40"/>
      <w:outlineLvl w:val="6"/>
    </w:pPr>
    <w:rPr>
      <w:color w:val="595959"/>
    </w:rPr>
  </w:style>
  <w:style w:type="paragraph" w:styleId="Titre8">
    <w:name w:val="heading 8"/>
    <w:basedOn w:val="Normal"/>
    <w:next w:val="Normal"/>
    <w:pPr>
      <w:keepNext/>
      <w:keepLines/>
      <w:outlineLvl w:val="7"/>
    </w:pPr>
    <w:rPr>
      <w:i/>
      <w:iCs/>
      <w:color w:val="272727"/>
    </w:rPr>
  </w:style>
  <w:style w:type="paragraph" w:styleId="Titre9">
    <w:name w:val="heading 9"/>
    <w:basedOn w:val="Normal"/>
    <w:next w:val="Normal"/>
    <w:pPr>
      <w:keepNext/>
      <w:keepLines/>
      <w:outlineLvl w:val="8"/>
    </w:pPr>
    <w:rPr>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Calibri Light" w:eastAsia="Times New Roman" w:hAnsi="Calibri Light" w:cs="Times New Roman"/>
      <w:color w:val="000000"/>
      <w:sz w:val="40"/>
      <w:szCs w:val="40"/>
    </w:rPr>
  </w:style>
  <w:style w:type="character" w:customStyle="1" w:styleId="Titre2Car">
    <w:name w:val="Titre 2 Car"/>
    <w:basedOn w:val="Policepardfaut"/>
    <w:rPr>
      <w:rFonts w:ascii="Calibri Light" w:eastAsia="Times New Roman" w:hAnsi="Calibri Light" w:cs="Times New Roman"/>
      <w:color w:val="000000"/>
      <w:sz w:val="36"/>
      <w:szCs w:val="32"/>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rPr>
  </w:style>
  <w:style w:type="character" w:customStyle="1" w:styleId="Titre5Car">
    <w:name w:val="Titre 5 Car"/>
    <w:basedOn w:val="Policepardfaut"/>
    <w:rPr>
      <w:rFonts w:eastAsia="Times New Roman" w:cs="Times New Roman"/>
      <w:color w:val="2F5496"/>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contextualSpacing/>
    </w:pPr>
    <w:rPr>
      <w:rFonts w:ascii="Calibri Light" w:hAnsi="Calibri Light"/>
      <w:spacing w:val="-10"/>
      <w:kern w:val="3"/>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color w:val="595959"/>
      <w:spacing w:val="15"/>
      <w:szCs w:val="28"/>
    </w:rPr>
  </w:style>
  <w:style w:type="character" w:customStyle="1" w:styleId="Sous-titreCar">
    <w:name w:val="Sous-titre Car"/>
    <w:basedOn w:val="Policepardfaut"/>
    <w:uiPriority w:val="11"/>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 w:type="table" w:styleId="Grilledutableau">
    <w:name w:val="Table Grid"/>
    <w:basedOn w:val="TableauNormal"/>
    <w:uiPriority w:val="39"/>
    <w:rsid w:val="007E69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66D7"/>
    <w:pPr>
      <w:widowControl/>
      <w:suppressAutoHyphens w:val="0"/>
      <w:autoSpaceDE/>
      <w:autoSpaceDN/>
      <w:spacing w:before="100" w:beforeAutospacing="1" w:after="100" w:afterAutospacing="1"/>
    </w:pPr>
    <w:rPr>
      <w:rFonts w:ascii="Times New Roman" w:hAnsi="Times New Roman"/>
      <w:sz w:val="24"/>
      <w:szCs w:val="24"/>
      <w:lang w:eastAsia="fr-FR"/>
    </w:rPr>
  </w:style>
  <w:style w:type="character" w:styleId="lev">
    <w:name w:val="Strong"/>
    <w:basedOn w:val="Policepardfaut"/>
    <w:uiPriority w:val="22"/>
    <w:qFormat/>
    <w:rsid w:val="000C66D7"/>
    <w:rPr>
      <w:b/>
      <w:bCs/>
    </w:rPr>
  </w:style>
  <w:style w:type="paragraph" w:styleId="En-ttedetabledesmatires">
    <w:name w:val="TOC Heading"/>
    <w:basedOn w:val="Titre1"/>
    <w:next w:val="Normal"/>
    <w:uiPriority w:val="39"/>
    <w:unhideWhenUsed/>
    <w:qFormat/>
    <w:rsid w:val="00AC5093"/>
    <w:pPr>
      <w:widowControl/>
      <w:suppressAutoHyphens w:val="0"/>
      <w:autoSpaceDE/>
      <w:autoSpaceDN/>
      <w:spacing w:before="240" w:after="0" w:line="259" w:lineRule="auto"/>
      <w:outlineLvl w:val="9"/>
    </w:pPr>
    <w:rPr>
      <w:rFonts w:asciiTheme="majorHAnsi" w:eastAsiaTheme="majorEastAsia" w:hAnsiTheme="majorHAnsi" w:cstheme="majorBidi"/>
      <w:color w:val="0F4761" w:themeColor="accent1" w:themeShade="BF"/>
      <w:kern w:val="0"/>
      <w:sz w:val="32"/>
      <w:szCs w:val="32"/>
      <w:lang w:eastAsia="fr-FR"/>
    </w:rPr>
  </w:style>
  <w:style w:type="paragraph" w:styleId="TM1">
    <w:name w:val="toc 1"/>
    <w:basedOn w:val="Normal"/>
    <w:next w:val="Normal"/>
    <w:autoRedefine/>
    <w:uiPriority w:val="39"/>
    <w:unhideWhenUsed/>
    <w:rsid w:val="00AC5093"/>
    <w:pPr>
      <w:spacing w:after="100"/>
    </w:pPr>
  </w:style>
  <w:style w:type="paragraph" w:styleId="TM2">
    <w:name w:val="toc 2"/>
    <w:basedOn w:val="Normal"/>
    <w:next w:val="Normal"/>
    <w:autoRedefine/>
    <w:uiPriority w:val="39"/>
    <w:unhideWhenUsed/>
    <w:rsid w:val="00AC5093"/>
    <w:pPr>
      <w:spacing w:after="100"/>
      <w:ind w:left="280"/>
    </w:pPr>
  </w:style>
  <w:style w:type="paragraph" w:styleId="TM3">
    <w:name w:val="toc 3"/>
    <w:basedOn w:val="Normal"/>
    <w:next w:val="Normal"/>
    <w:autoRedefine/>
    <w:uiPriority w:val="39"/>
    <w:unhideWhenUsed/>
    <w:rsid w:val="00AC5093"/>
    <w:pPr>
      <w:spacing w:after="100"/>
      <w:ind w:left="560"/>
    </w:pPr>
  </w:style>
  <w:style w:type="character" w:styleId="Lienhypertexte">
    <w:name w:val="Hyperlink"/>
    <w:basedOn w:val="Policepardfaut"/>
    <w:uiPriority w:val="99"/>
    <w:unhideWhenUsed/>
    <w:rsid w:val="00AC50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1.xml"/><Relationship Id="rId26"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chart" Target="charts/chart8.xml"/><Relationship Id="rId10" Type="http://schemas.openxmlformats.org/officeDocument/2006/relationships/image" Target="media/image3.png"/><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4/relationships/chartEx" Target="charts/chartEx1.xml"/><Relationship Id="rId27" Type="http://schemas.openxmlformats.org/officeDocument/2006/relationships/chart" Target="charts/chart7.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BUT\SAE%20204\Energie\PersonneB_Consommation(fichier%204.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BUT\SAE%20204\Energie\PersonneB_Consommation(fichier%204.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BUT\SAE%20204\Energie\PersonneB_Consommation(fichier%204.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1" Type="http://schemas.openxmlformats.org/officeDocument/2006/relationships/oleObject" Target="file:///E:\BUT\SAE%20204\Energie\PersonneB_Consommation(fichier%204.2).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Users\dylanvalenza\Library\CloudStorage\GoogleDrive-zeightly@gmail.com\Mon%20Drive\SAE%20204%20Stats\Dylan\Mix_Energetique_Co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dylanvalenza\Library\CloudStorage\GoogleDrive-zeightly@gmail.com\Mon%20Drive\SAE%20204%20Stats\Dylan\Mix_Energetique_Co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dylanvalenza\Library\CloudStorage\GoogleDrive-zeightly@gmail.com\Mon%20Drive\SAE%20204%20Stats\Dylan\Mix_Energetique_Co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dylanvalenza\Library\CloudStorage\GoogleDrive-zeightly@gmail.com\Mon%20Drive\SAE%20204%20Stats\Dylan\Mix_Energetique_Co2.xlsx" TargetMode="External"/><Relationship Id="rId2" Type="http://schemas.microsoft.com/office/2011/relationships/chartColorStyle" Target="colors8.xml"/><Relationship Id="rId1" Type="http://schemas.microsoft.com/office/2011/relationships/chartStyle" Target="style8.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BUT\SAE%20204\Energie\PersonneB_Consommation(fichier%204.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a:t>
            </a:r>
            <a:r>
              <a:rPr lang="fr-FR" baseline="0"/>
              <a:t> de la consommation</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6.6285123157782219E-2"/>
          <c:y val="0.14588218755953603"/>
          <c:w val="0.75735985577019593"/>
          <c:h val="0.70627684992290751"/>
        </c:manualLayout>
      </c:layout>
      <c:lineChart>
        <c:grouping val="standard"/>
        <c:varyColors val="0"/>
        <c:ser>
          <c:idx val="0"/>
          <c:order val="0"/>
          <c:tx>
            <c:strRef>
              <c:f>'Synthese-Electricite'!$F$1</c:f>
              <c:strCache>
                <c:ptCount val="1"/>
                <c:pt idx="0">
                  <c:v>Conso_CVC_CJO</c:v>
                </c:pt>
              </c:strCache>
            </c:strRef>
          </c:tx>
          <c:spPr>
            <a:ln w="28575" cap="rnd">
              <a:solidFill>
                <a:schemeClr val="accent1"/>
              </a:solidFill>
              <a:round/>
            </a:ln>
            <a:effectLst/>
          </c:spPr>
          <c:marker>
            <c:symbol val="none"/>
          </c:marker>
          <c:cat>
            <c:strRef>
              <c:f>'Synthese-Electricite'!$A$2:$A$145</c:f>
              <c:strCache>
                <c:ptCount val="144"/>
                <c:pt idx="0">
                  <c:v>2022-12</c:v>
                </c:pt>
                <c:pt idx="1">
                  <c:v>2022-11</c:v>
                </c:pt>
                <c:pt idx="2">
                  <c:v>2022-10</c:v>
                </c:pt>
                <c:pt idx="3">
                  <c:v>2022-09</c:v>
                </c:pt>
                <c:pt idx="4">
                  <c:v>2022-08</c:v>
                </c:pt>
                <c:pt idx="5">
                  <c:v>2022-07</c:v>
                </c:pt>
                <c:pt idx="6">
                  <c:v>2022-06</c:v>
                </c:pt>
                <c:pt idx="7">
                  <c:v>2022-05</c:v>
                </c:pt>
                <c:pt idx="8">
                  <c:v>2022-04</c:v>
                </c:pt>
                <c:pt idx="9">
                  <c:v>2022-03</c:v>
                </c:pt>
                <c:pt idx="10">
                  <c:v>2022-02</c:v>
                </c:pt>
                <c:pt idx="11">
                  <c:v>2022-01</c:v>
                </c:pt>
                <c:pt idx="12">
                  <c:v>2021-12</c:v>
                </c:pt>
                <c:pt idx="13">
                  <c:v>2021-11</c:v>
                </c:pt>
                <c:pt idx="14">
                  <c:v>2021-10</c:v>
                </c:pt>
                <c:pt idx="15">
                  <c:v>2021-09</c:v>
                </c:pt>
                <c:pt idx="16">
                  <c:v>2021-08</c:v>
                </c:pt>
                <c:pt idx="17">
                  <c:v>2021-07</c:v>
                </c:pt>
                <c:pt idx="18">
                  <c:v>2021-06</c:v>
                </c:pt>
                <c:pt idx="19">
                  <c:v>2021-05</c:v>
                </c:pt>
                <c:pt idx="20">
                  <c:v>2021-04</c:v>
                </c:pt>
                <c:pt idx="21">
                  <c:v>2021-03</c:v>
                </c:pt>
                <c:pt idx="22">
                  <c:v>2021-02</c:v>
                </c:pt>
                <c:pt idx="23">
                  <c:v>2021-01</c:v>
                </c:pt>
                <c:pt idx="24">
                  <c:v>2020-12</c:v>
                </c:pt>
                <c:pt idx="25">
                  <c:v>2020-11</c:v>
                </c:pt>
                <c:pt idx="26">
                  <c:v>2020-10</c:v>
                </c:pt>
                <c:pt idx="27">
                  <c:v>2020-09</c:v>
                </c:pt>
                <c:pt idx="28">
                  <c:v>2020-08</c:v>
                </c:pt>
                <c:pt idx="29">
                  <c:v>2020-07</c:v>
                </c:pt>
                <c:pt idx="30">
                  <c:v>2020-06</c:v>
                </c:pt>
                <c:pt idx="31">
                  <c:v>2020-05</c:v>
                </c:pt>
                <c:pt idx="32">
                  <c:v>2020-04</c:v>
                </c:pt>
                <c:pt idx="33">
                  <c:v>2020-03</c:v>
                </c:pt>
                <c:pt idx="34">
                  <c:v>2020-02</c:v>
                </c:pt>
                <c:pt idx="35">
                  <c:v>2020-01</c:v>
                </c:pt>
                <c:pt idx="36">
                  <c:v>2019-12</c:v>
                </c:pt>
                <c:pt idx="37">
                  <c:v>2019-11</c:v>
                </c:pt>
                <c:pt idx="38">
                  <c:v>2019-10</c:v>
                </c:pt>
                <c:pt idx="39">
                  <c:v>2019-09</c:v>
                </c:pt>
                <c:pt idx="40">
                  <c:v>2019-08</c:v>
                </c:pt>
                <c:pt idx="41">
                  <c:v>2019-07</c:v>
                </c:pt>
                <c:pt idx="42">
                  <c:v>2019-06</c:v>
                </c:pt>
                <c:pt idx="43">
                  <c:v>2019-05</c:v>
                </c:pt>
                <c:pt idx="44">
                  <c:v>2019-04</c:v>
                </c:pt>
                <c:pt idx="45">
                  <c:v>2019-03</c:v>
                </c:pt>
                <c:pt idx="46">
                  <c:v>2019-02</c:v>
                </c:pt>
                <c:pt idx="47">
                  <c:v>2019-01</c:v>
                </c:pt>
                <c:pt idx="48">
                  <c:v>2018-12</c:v>
                </c:pt>
                <c:pt idx="49">
                  <c:v>2018-11</c:v>
                </c:pt>
                <c:pt idx="50">
                  <c:v>2018-10</c:v>
                </c:pt>
                <c:pt idx="51">
                  <c:v>2018-09</c:v>
                </c:pt>
                <c:pt idx="52">
                  <c:v>2018-08</c:v>
                </c:pt>
                <c:pt idx="53">
                  <c:v>2018-07</c:v>
                </c:pt>
                <c:pt idx="54">
                  <c:v>2018-06</c:v>
                </c:pt>
                <c:pt idx="55">
                  <c:v>2018-05</c:v>
                </c:pt>
                <c:pt idx="56">
                  <c:v>2018-04</c:v>
                </c:pt>
                <c:pt idx="57">
                  <c:v>2018-03</c:v>
                </c:pt>
                <c:pt idx="58">
                  <c:v>2018-02</c:v>
                </c:pt>
                <c:pt idx="59">
                  <c:v>2018-01</c:v>
                </c:pt>
                <c:pt idx="60">
                  <c:v>2017-12</c:v>
                </c:pt>
                <c:pt idx="61">
                  <c:v>2017-11</c:v>
                </c:pt>
                <c:pt idx="62">
                  <c:v>2017-10</c:v>
                </c:pt>
                <c:pt idx="63">
                  <c:v>2017-09</c:v>
                </c:pt>
                <c:pt idx="64">
                  <c:v>2017-08</c:v>
                </c:pt>
                <c:pt idx="65">
                  <c:v>2017-07</c:v>
                </c:pt>
                <c:pt idx="66">
                  <c:v>2017-06</c:v>
                </c:pt>
                <c:pt idx="67">
                  <c:v>2017-05</c:v>
                </c:pt>
                <c:pt idx="68">
                  <c:v>2017-04</c:v>
                </c:pt>
                <c:pt idx="69">
                  <c:v>2017-03</c:v>
                </c:pt>
                <c:pt idx="70">
                  <c:v>2017-02</c:v>
                </c:pt>
                <c:pt idx="71">
                  <c:v>2017-01</c:v>
                </c:pt>
                <c:pt idx="72">
                  <c:v>2016-12</c:v>
                </c:pt>
                <c:pt idx="73">
                  <c:v>2016-11</c:v>
                </c:pt>
                <c:pt idx="74">
                  <c:v>2016-10</c:v>
                </c:pt>
                <c:pt idx="75">
                  <c:v>2016-09</c:v>
                </c:pt>
                <c:pt idx="76">
                  <c:v>2016-08</c:v>
                </c:pt>
                <c:pt idx="77">
                  <c:v>2016-07</c:v>
                </c:pt>
                <c:pt idx="78">
                  <c:v>2016-06</c:v>
                </c:pt>
                <c:pt idx="79">
                  <c:v>2016-05</c:v>
                </c:pt>
                <c:pt idx="80">
                  <c:v>2016-04</c:v>
                </c:pt>
                <c:pt idx="81">
                  <c:v>2016-03</c:v>
                </c:pt>
                <c:pt idx="82">
                  <c:v>2016-02</c:v>
                </c:pt>
                <c:pt idx="83">
                  <c:v>2016-01</c:v>
                </c:pt>
                <c:pt idx="84">
                  <c:v>2015-12</c:v>
                </c:pt>
                <c:pt idx="85">
                  <c:v>2015-11</c:v>
                </c:pt>
                <c:pt idx="86">
                  <c:v>2015-10</c:v>
                </c:pt>
                <c:pt idx="87">
                  <c:v>2015-09</c:v>
                </c:pt>
                <c:pt idx="88">
                  <c:v>2015-08</c:v>
                </c:pt>
                <c:pt idx="89">
                  <c:v>2015-07</c:v>
                </c:pt>
                <c:pt idx="90">
                  <c:v>2015-06</c:v>
                </c:pt>
                <c:pt idx="91">
                  <c:v>2015-05</c:v>
                </c:pt>
                <c:pt idx="92">
                  <c:v>2015-04</c:v>
                </c:pt>
                <c:pt idx="93">
                  <c:v>2015-03</c:v>
                </c:pt>
                <c:pt idx="94">
                  <c:v>2015-02</c:v>
                </c:pt>
                <c:pt idx="95">
                  <c:v>2015-01</c:v>
                </c:pt>
                <c:pt idx="96">
                  <c:v>2014-12</c:v>
                </c:pt>
                <c:pt idx="97">
                  <c:v>2014-11</c:v>
                </c:pt>
                <c:pt idx="98">
                  <c:v>2014-10</c:v>
                </c:pt>
                <c:pt idx="99">
                  <c:v>2014-09</c:v>
                </c:pt>
                <c:pt idx="100">
                  <c:v>2014-08</c:v>
                </c:pt>
                <c:pt idx="101">
                  <c:v>2014-07</c:v>
                </c:pt>
                <c:pt idx="102">
                  <c:v>2014-06</c:v>
                </c:pt>
                <c:pt idx="103">
                  <c:v>2014-05</c:v>
                </c:pt>
                <c:pt idx="104">
                  <c:v>2014-04</c:v>
                </c:pt>
                <c:pt idx="105">
                  <c:v>2014-03</c:v>
                </c:pt>
                <c:pt idx="106">
                  <c:v>2014-02</c:v>
                </c:pt>
                <c:pt idx="107">
                  <c:v>2014-01</c:v>
                </c:pt>
                <c:pt idx="108">
                  <c:v>2013-12</c:v>
                </c:pt>
                <c:pt idx="109">
                  <c:v>2013-11</c:v>
                </c:pt>
                <c:pt idx="110">
                  <c:v>2013-10</c:v>
                </c:pt>
                <c:pt idx="111">
                  <c:v>2013-09</c:v>
                </c:pt>
                <c:pt idx="112">
                  <c:v>2013-08</c:v>
                </c:pt>
                <c:pt idx="113">
                  <c:v>2013-07</c:v>
                </c:pt>
                <c:pt idx="114">
                  <c:v>2013-06</c:v>
                </c:pt>
                <c:pt idx="115">
                  <c:v>2013-05</c:v>
                </c:pt>
                <c:pt idx="116">
                  <c:v>2013-04</c:v>
                </c:pt>
                <c:pt idx="117">
                  <c:v>2013-03</c:v>
                </c:pt>
                <c:pt idx="118">
                  <c:v>2013-02</c:v>
                </c:pt>
                <c:pt idx="119">
                  <c:v>2013-01</c:v>
                </c:pt>
                <c:pt idx="120">
                  <c:v>2012-12</c:v>
                </c:pt>
                <c:pt idx="121">
                  <c:v>2012-11</c:v>
                </c:pt>
                <c:pt idx="122">
                  <c:v>2012-10</c:v>
                </c:pt>
                <c:pt idx="123">
                  <c:v>2012-09</c:v>
                </c:pt>
                <c:pt idx="124">
                  <c:v>2012-08</c:v>
                </c:pt>
                <c:pt idx="125">
                  <c:v>2012-07</c:v>
                </c:pt>
                <c:pt idx="126">
                  <c:v>2012-06</c:v>
                </c:pt>
                <c:pt idx="127">
                  <c:v>2012-05</c:v>
                </c:pt>
                <c:pt idx="128">
                  <c:v>2012-04</c:v>
                </c:pt>
                <c:pt idx="129">
                  <c:v>2012-03</c:v>
                </c:pt>
                <c:pt idx="130">
                  <c:v>2012-02</c:v>
                </c:pt>
                <c:pt idx="131">
                  <c:v>2012-01</c:v>
                </c:pt>
                <c:pt idx="132">
                  <c:v>2011-12</c:v>
                </c:pt>
                <c:pt idx="133">
                  <c:v>2011-11</c:v>
                </c:pt>
                <c:pt idx="134">
                  <c:v>2011-10</c:v>
                </c:pt>
                <c:pt idx="135">
                  <c:v>2011-09</c:v>
                </c:pt>
                <c:pt idx="136">
                  <c:v>2011-08</c:v>
                </c:pt>
                <c:pt idx="137">
                  <c:v>2011-07</c:v>
                </c:pt>
                <c:pt idx="138">
                  <c:v>2011-06</c:v>
                </c:pt>
                <c:pt idx="139">
                  <c:v>2011-05</c:v>
                </c:pt>
                <c:pt idx="140">
                  <c:v>2011-04</c:v>
                </c:pt>
                <c:pt idx="141">
                  <c:v>2011-03</c:v>
                </c:pt>
                <c:pt idx="142">
                  <c:v>2011-02</c:v>
                </c:pt>
                <c:pt idx="143">
                  <c:v>2011-01</c:v>
                </c:pt>
              </c:strCache>
            </c:strRef>
          </c:cat>
          <c:val>
            <c:numRef>
              <c:f>'Synthese-Electricite'!$F$2:$F$145</c:f>
              <c:numCache>
                <c:formatCode>General</c:formatCode>
                <c:ptCount val="144"/>
                <c:pt idx="0">
                  <c:v>101739.33</c:v>
                </c:pt>
                <c:pt idx="1">
                  <c:v>82618.320999999996</c:v>
                </c:pt>
                <c:pt idx="2">
                  <c:v>77235.451000000001</c:v>
                </c:pt>
                <c:pt idx="3">
                  <c:v>68889.017999999996</c:v>
                </c:pt>
                <c:pt idx="4">
                  <c:v>67857.819000000003</c:v>
                </c:pt>
                <c:pt idx="5">
                  <c:v>71804.539999999994</c:v>
                </c:pt>
                <c:pt idx="6">
                  <c:v>72673.888999999996</c:v>
                </c:pt>
                <c:pt idx="7">
                  <c:v>76347.869000000006</c:v>
                </c:pt>
                <c:pt idx="8">
                  <c:v>81476.797000000006</c:v>
                </c:pt>
                <c:pt idx="9">
                  <c:v>98215.301999999996</c:v>
                </c:pt>
                <c:pt idx="10">
                  <c:v>105420.47100000001</c:v>
                </c:pt>
                <c:pt idx="11">
                  <c:v>122244.81299999999</c:v>
                </c:pt>
                <c:pt idx="12">
                  <c:v>113862.836</c:v>
                </c:pt>
                <c:pt idx="13">
                  <c:v>103338.44899999999</c:v>
                </c:pt>
                <c:pt idx="14">
                  <c:v>100824.03200000001</c:v>
                </c:pt>
                <c:pt idx="15">
                  <c:v>93302.29</c:v>
                </c:pt>
                <c:pt idx="16">
                  <c:v>94077.998999999996</c:v>
                </c:pt>
                <c:pt idx="17">
                  <c:v>93748.603000000003</c:v>
                </c:pt>
                <c:pt idx="18">
                  <c:v>89891.153999999995</c:v>
                </c:pt>
                <c:pt idx="19">
                  <c:v>91972.191999999995</c:v>
                </c:pt>
                <c:pt idx="20">
                  <c:v>92509.194000000003</c:v>
                </c:pt>
                <c:pt idx="21">
                  <c:v>108001.88499999999</c:v>
                </c:pt>
                <c:pt idx="22">
                  <c:v>107337.637</c:v>
                </c:pt>
                <c:pt idx="23">
                  <c:v>126996.304</c:v>
                </c:pt>
                <c:pt idx="24">
                  <c:v>118633.62699999999</c:v>
                </c:pt>
                <c:pt idx="25">
                  <c:v>106034.62699999999</c:v>
                </c:pt>
                <c:pt idx="26">
                  <c:v>97153.659</c:v>
                </c:pt>
                <c:pt idx="27">
                  <c:v>77356.474000000002</c:v>
                </c:pt>
                <c:pt idx="28">
                  <c:v>78900.646999999997</c:v>
                </c:pt>
                <c:pt idx="29">
                  <c:v>79794.891000000003</c:v>
                </c:pt>
                <c:pt idx="30">
                  <c:v>75457.934999999998</c:v>
                </c:pt>
                <c:pt idx="31">
                  <c:v>84761.683000000005</c:v>
                </c:pt>
                <c:pt idx="32">
                  <c:v>91742.873000000007</c:v>
                </c:pt>
                <c:pt idx="33">
                  <c:v>104942.89</c:v>
                </c:pt>
                <c:pt idx="34">
                  <c:v>112056.784</c:v>
                </c:pt>
                <c:pt idx="35">
                  <c:v>127652.379</c:v>
                </c:pt>
                <c:pt idx="36">
                  <c:v>116757.08500000001</c:v>
                </c:pt>
                <c:pt idx="37">
                  <c:v>101727.058</c:v>
                </c:pt>
                <c:pt idx="38">
                  <c:v>98557.437000000005</c:v>
                </c:pt>
                <c:pt idx="39">
                  <c:v>89656.631999999998</c:v>
                </c:pt>
                <c:pt idx="40">
                  <c:v>89475.376999999993</c:v>
                </c:pt>
                <c:pt idx="41">
                  <c:v>95641.773000000001</c:v>
                </c:pt>
                <c:pt idx="42">
                  <c:v>92925.342000000004</c:v>
                </c:pt>
                <c:pt idx="43">
                  <c:v>101378.798</c:v>
                </c:pt>
                <c:pt idx="44">
                  <c:v>104769.129</c:v>
                </c:pt>
                <c:pt idx="45">
                  <c:v>118562.564</c:v>
                </c:pt>
                <c:pt idx="46">
                  <c:v>119624.963</c:v>
                </c:pt>
                <c:pt idx="47">
                  <c:v>133434.58600000001</c:v>
                </c:pt>
                <c:pt idx="48">
                  <c:v>128804.89200000001</c:v>
                </c:pt>
                <c:pt idx="49">
                  <c:v>110141.77800000001</c:v>
                </c:pt>
                <c:pt idx="50">
                  <c:v>103174.075</c:v>
                </c:pt>
                <c:pt idx="51">
                  <c:v>96200.369000000006</c:v>
                </c:pt>
                <c:pt idx="52">
                  <c:v>89685.150999999998</c:v>
                </c:pt>
                <c:pt idx="53">
                  <c:v>97487.360000000001</c:v>
                </c:pt>
                <c:pt idx="54">
                  <c:v>93112.986999999994</c:v>
                </c:pt>
                <c:pt idx="55">
                  <c:v>101143.84699999999</c:v>
                </c:pt>
                <c:pt idx="56">
                  <c:v>104119.656</c:v>
                </c:pt>
                <c:pt idx="57">
                  <c:v>119066.515</c:v>
                </c:pt>
                <c:pt idx="58">
                  <c:v>121378.588</c:v>
                </c:pt>
                <c:pt idx="59">
                  <c:v>137924.897</c:v>
                </c:pt>
                <c:pt idx="60">
                  <c:v>126402.583</c:v>
                </c:pt>
                <c:pt idx="61">
                  <c:v>103027.705</c:v>
                </c:pt>
                <c:pt idx="62">
                  <c:v>94094.212</c:v>
                </c:pt>
                <c:pt idx="63">
                  <c:v>94579.952999999994</c:v>
                </c:pt>
                <c:pt idx="64">
                  <c:v>92577.668999999994</c:v>
                </c:pt>
                <c:pt idx="65">
                  <c:v>91963.101999999999</c:v>
                </c:pt>
                <c:pt idx="66">
                  <c:v>89238.354000000007</c:v>
                </c:pt>
                <c:pt idx="67">
                  <c:v>98583.262000000002</c:v>
                </c:pt>
                <c:pt idx="68">
                  <c:v>101559.806</c:v>
                </c:pt>
                <c:pt idx="69">
                  <c:v>115976.24400000001</c:v>
                </c:pt>
                <c:pt idx="70">
                  <c:v>113502.993</c:v>
                </c:pt>
                <c:pt idx="71">
                  <c:v>132932.36499999999</c:v>
                </c:pt>
                <c:pt idx="72">
                  <c:v>121746.79399999999</c:v>
                </c:pt>
                <c:pt idx="73">
                  <c:v>105120.86900000001</c:v>
                </c:pt>
                <c:pt idx="74">
                  <c:v>94924.881999999998</c:v>
                </c:pt>
                <c:pt idx="75">
                  <c:v>87030.551999999996</c:v>
                </c:pt>
                <c:pt idx="76">
                  <c:v>89063.804999999993</c:v>
                </c:pt>
                <c:pt idx="77">
                  <c:v>93365.251999999993</c:v>
                </c:pt>
                <c:pt idx="78">
                  <c:v>93667.933999999994</c:v>
                </c:pt>
                <c:pt idx="79">
                  <c:v>97483.324999999997</c:v>
                </c:pt>
                <c:pt idx="80">
                  <c:v>102910.13</c:v>
                </c:pt>
                <c:pt idx="81">
                  <c:v>120861.255</c:v>
                </c:pt>
                <c:pt idx="82">
                  <c:v>121057.969</c:v>
                </c:pt>
                <c:pt idx="83">
                  <c:v>137200.48300000001</c:v>
                </c:pt>
                <c:pt idx="84">
                  <c:v>131878.228</c:v>
                </c:pt>
                <c:pt idx="85">
                  <c:v>117025.652</c:v>
                </c:pt>
                <c:pt idx="86">
                  <c:v>108690.212</c:v>
                </c:pt>
                <c:pt idx="87">
                  <c:v>98332.945999999996</c:v>
                </c:pt>
                <c:pt idx="88">
                  <c:v>100290.107</c:v>
                </c:pt>
                <c:pt idx="89">
                  <c:v>106188.031</c:v>
                </c:pt>
                <c:pt idx="90">
                  <c:v>99228.376999999993</c:v>
                </c:pt>
                <c:pt idx="91">
                  <c:v>99710.020999999993</c:v>
                </c:pt>
                <c:pt idx="92">
                  <c:v>104238.194</c:v>
                </c:pt>
                <c:pt idx="93">
                  <c:v>121420.841</c:v>
                </c:pt>
                <c:pt idx="94">
                  <c:v>124040.258</c:v>
                </c:pt>
                <c:pt idx="95">
                  <c:v>142068.386</c:v>
                </c:pt>
                <c:pt idx="96">
                  <c:v>135360.068</c:v>
                </c:pt>
                <c:pt idx="97">
                  <c:v>118985.633</c:v>
                </c:pt>
                <c:pt idx="98">
                  <c:v>108071.08100000001</c:v>
                </c:pt>
                <c:pt idx="99">
                  <c:v>101267.886</c:v>
                </c:pt>
                <c:pt idx="100">
                  <c:v>100251.541</c:v>
                </c:pt>
                <c:pt idx="101">
                  <c:v>106406.202</c:v>
                </c:pt>
                <c:pt idx="102">
                  <c:v>98834.731</c:v>
                </c:pt>
                <c:pt idx="103">
                  <c:v>100689.303</c:v>
                </c:pt>
                <c:pt idx="104">
                  <c:v>104416.71799999999</c:v>
                </c:pt>
                <c:pt idx="105">
                  <c:v>119372.99400000001</c:v>
                </c:pt>
                <c:pt idx="106">
                  <c:v>123315.409</c:v>
                </c:pt>
                <c:pt idx="107">
                  <c:v>141988.77100000001</c:v>
                </c:pt>
                <c:pt idx="108">
                  <c:v>133477.69699999999</c:v>
                </c:pt>
                <c:pt idx="109">
                  <c:v>114378.76700000001</c:v>
                </c:pt>
                <c:pt idx="110">
                  <c:v>103602.09699999999</c:v>
                </c:pt>
                <c:pt idx="111">
                  <c:v>95267.828999999998</c:v>
                </c:pt>
                <c:pt idx="112">
                  <c:v>94410.301000000007</c:v>
                </c:pt>
                <c:pt idx="113">
                  <c:v>100539.86599999999</c:v>
                </c:pt>
                <c:pt idx="114">
                  <c:v>95271.593999999997</c:v>
                </c:pt>
                <c:pt idx="115">
                  <c:v>100798.121</c:v>
                </c:pt>
                <c:pt idx="116">
                  <c:v>105144.986</c:v>
                </c:pt>
                <c:pt idx="117">
                  <c:v>117945.99</c:v>
                </c:pt>
                <c:pt idx="118">
                  <c:v>121653.34600000001</c:v>
                </c:pt>
                <c:pt idx="119">
                  <c:v>137794.986</c:v>
                </c:pt>
                <c:pt idx="120">
                  <c:v>131612.47899999999</c:v>
                </c:pt>
                <c:pt idx="121">
                  <c:v>120039.368</c:v>
                </c:pt>
                <c:pt idx="122">
                  <c:v>107111.125</c:v>
                </c:pt>
                <c:pt idx="123">
                  <c:v>96929.414000000004</c:v>
                </c:pt>
                <c:pt idx="124">
                  <c:v>91486.59</c:v>
                </c:pt>
                <c:pt idx="125">
                  <c:v>95154.142000000007</c:v>
                </c:pt>
                <c:pt idx="126">
                  <c:v>89777.911999999997</c:v>
                </c:pt>
                <c:pt idx="127">
                  <c:v>97823.307000000001</c:v>
                </c:pt>
                <c:pt idx="128">
                  <c:v>107680.724</c:v>
                </c:pt>
                <c:pt idx="129">
                  <c:v>122394.708</c:v>
                </c:pt>
                <c:pt idx="130">
                  <c:v>122863.35400000001</c:v>
                </c:pt>
                <c:pt idx="131">
                  <c:v>140006.758</c:v>
                </c:pt>
                <c:pt idx="132">
                  <c:v>131284.288</c:v>
                </c:pt>
                <c:pt idx="133">
                  <c:v>111091.747</c:v>
                </c:pt>
                <c:pt idx="134">
                  <c:v>105485.333</c:v>
                </c:pt>
                <c:pt idx="135">
                  <c:v>100310.711</c:v>
                </c:pt>
                <c:pt idx="136">
                  <c:v>100757.18</c:v>
                </c:pt>
                <c:pt idx="137">
                  <c:v>105693.101</c:v>
                </c:pt>
                <c:pt idx="138">
                  <c:v>103686.879</c:v>
                </c:pt>
                <c:pt idx="139">
                  <c:v>106048.662</c:v>
                </c:pt>
                <c:pt idx="140">
                  <c:v>107686.867</c:v>
                </c:pt>
                <c:pt idx="141">
                  <c:v>121598.295</c:v>
                </c:pt>
                <c:pt idx="142">
                  <c:v>124086.333</c:v>
                </c:pt>
                <c:pt idx="143">
                  <c:v>141886.171</c:v>
                </c:pt>
              </c:numCache>
            </c:numRef>
          </c:val>
          <c:smooth val="0"/>
          <c:extLst>
            <c:ext xmlns:c16="http://schemas.microsoft.com/office/drawing/2014/chart" uri="{C3380CC4-5D6E-409C-BE32-E72D297353CC}">
              <c16:uniqueId val="{00000000-5091-4727-9F2E-6754047768BC}"/>
            </c:ext>
          </c:extLst>
        </c:ser>
        <c:dLbls>
          <c:showLegendKey val="0"/>
          <c:showVal val="0"/>
          <c:showCatName val="0"/>
          <c:showSerName val="0"/>
          <c:showPercent val="0"/>
          <c:showBubbleSize val="0"/>
        </c:dLbls>
        <c:smooth val="0"/>
        <c:axId val="677070047"/>
        <c:axId val="677071711"/>
      </c:lineChart>
      <c:catAx>
        <c:axId val="677070047"/>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Années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677071711"/>
        <c:crosses val="autoZero"/>
        <c:auto val="1"/>
        <c:lblAlgn val="ctr"/>
        <c:lblOffset val="100"/>
        <c:tickLblSkip val="12"/>
        <c:noMultiLvlLbl val="0"/>
      </c:catAx>
      <c:valAx>
        <c:axId val="677071711"/>
        <c:scaling>
          <c:orientation val="minMax"/>
          <c:min val="50000"/>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Consommation</a:t>
                </a:r>
                <a:r>
                  <a:rPr lang="fr-FR" baseline="0"/>
                  <a:t> (GWh)</a:t>
                </a:r>
                <a:endParaRPr lang="fr-FR"/>
              </a:p>
            </c:rich>
          </c:tx>
          <c:layout>
            <c:manualLayout>
              <c:xMode val="edge"/>
              <c:yMode val="edge"/>
              <c:x val="0.96155233587289313"/>
              <c:y val="0.3362577005360284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6770700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6.1559319945756294E-2"/>
          <c:y val="0.11242987896340695"/>
          <c:w val="0.81528354004441728"/>
          <c:h val="0.69799305860302252"/>
        </c:manualLayout>
      </c:layout>
      <c:lineChart>
        <c:grouping val="standard"/>
        <c:varyColors val="0"/>
        <c:ser>
          <c:idx val="0"/>
          <c:order val="0"/>
          <c:tx>
            <c:strRef>
              <c:f>'Synthese-Electricite'!$H$1</c:f>
              <c:strCache>
                <c:ptCount val="1"/>
                <c:pt idx="0">
                  <c:v>DJU</c:v>
                </c:pt>
              </c:strCache>
            </c:strRef>
          </c:tx>
          <c:spPr>
            <a:ln w="28575" cap="rnd">
              <a:solidFill>
                <a:schemeClr val="accent2"/>
              </a:solidFill>
              <a:round/>
            </a:ln>
            <a:effectLst/>
          </c:spPr>
          <c:marker>
            <c:symbol val="none"/>
          </c:marker>
          <c:cat>
            <c:strRef>
              <c:f>'Synthese-Electricite'!$A$2:$A$205</c:f>
              <c:strCache>
                <c:ptCount val="204"/>
                <c:pt idx="0">
                  <c:v>2022-12</c:v>
                </c:pt>
                <c:pt idx="1">
                  <c:v>2022-11</c:v>
                </c:pt>
                <c:pt idx="2">
                  <c:v>2022-10</c:v>
                </c:pt>
                <c:pt idx="3">
                  <c:v>2022-09</c:v>
                </c:pt>
                <c:pt idx="4">
                  <c:v>2022-08</c:v>
                </c:pt>
                <c:pt idx="5">
                  <c:v>2022-07</c:v>
                </c:pt>
                <c:pt idx="6">
                  <c:v>2022-06</c:v>
                </c:pt>
                <c:pt idx="7">
                  <c:v>2022-05</c:v>
                </c:pt>
                <c:pt idx="8">
                  <c:v>2022-04</c:v>
                </c:pt>
                <c:pt idx="9">
                  <c:v>2022-03</c:v>
                </c:pt>
                <c:pt idx="10">
                  <c:v>2022-02</c:v>
                </c:pt>
                <c:pt idx="11">
                  <c:v>2022-01</c:v>
                </c:pt>
                <c:pt idx="12">
                  <c:v>2021-12</c:v>
                </c:pt>
                <c:pt idx="13">
                  <c:v>2021-11</c:v>
                </c:pt>
                <c:pt idx="14">
                  <c:v>2021-10</c:v>
                </c:pt>
                <c:pt idx="15">
                  <c:v>2021-09</c:v>
                </c:pt>
                <c:pt idx="16">
                  <c:v>2021-08</c:v>
                </c:pt>
                <c:pt idx="17">
                  <c:v>2021-07</c:v>
                </c:pt>
                <c:pt idx="18">
                  <c:v>2021-06</c:v>
                </c:pt>
                <c:pt idx="19">
                  <c:v>2021-05</c:v>
                </c:pt>
                <c:pt idx="20">
                  <c:v>2021-04</c:v>
                </c:pt>
                <c:pt idx="21">
                  <c:v>2021-03</c:v>
                </c:pt>
                <c:pt idx="22">
                  <c:v>2021-02</c:v>
                </c:pt>
                <c:pt idx="23">
                  <c:v>2021-01</c:v>
                </c:pt>
                <c:pt idx="24">
                  <c:v>2020-12</c:v>
                </c:pt>
                <c:pt idx="25">
                  <c:v>2020-11</c:v>
                </c:pt>
                <c:pt idx="26">
                  <c:v>2020-10</c:v>
                </c:pt>
                <c:pt idx="27">
                  <c:v>2020-09</c:v>
                </c:pt>
                <c:pt idx="28">
                  <c:v>2020-08</c:v>
                </c:pt>
                <c:pt idx="29">
                  <c:v>2020-07</c:v>
                </c:pt>
                <c:pt idx="30">
                  <c:v>2020-06</c:v>
                </c:pt>
                <c:pt idx="31">
                  <c:v>2020-05</c:v>
                </c:pt>
                <c:pt idx="32">
                  <c:v>2020-04</c:v>
                </c:pt>
                <c:pt idx="33">
                  <c:v>2020-03</c:v>
                </c:pt>
                <c:pt idx="34">
                  <c:v>2020-02</c:v>
                </c:pt>
                <c:pt idx="35">
                  <c:v>2020-01</c:v>
                </c:pt>
                <c:pt idx="36">
                  <c:v>2019-12</c:v>
                </c:pt>
                <c:pt idx="37">
                  <c:v>2019-11</c:v>
                </c:pt>
                <c:pt idx="38">
                  <c:v>2019-10</c:v>
                </c:pt>
                <c:pt idx="39">
                  <c:v>2019-09</c:v>
                </c:pt>
                <c:pt idx="40">
                  <c:v>2019-08</c:v>
                </c:pt>
                <c:pt idx="41">
                  <c:v>2019-07</c:v>
                </c:pt>
                <c:pt idx="42">
                  <c:v>2019-06</c:v>
                </c:pt>
                <c:pt idx="43">
                  <c:v>2019-05</c:v>
                </c:pt>
                <c:pt idx="44">
                  <c:v>2019-04</c:v>
                </c:pt>
                <c:pt idx="45">
                  <c:v>2019-03</c:v>
                </c:pt>
                <c:pt idx="46">
                  <c:v>2019-02</c:v>
                </c:pt>
                <c:pt idx="47">
                  <c:v>2019-01</c:v>
                </c:pt>
                <c:pt idx="48">
                  <c:v>2018-12</c:v>
                </c:pt>
                <c:pt idx="49">
                  <c:v>2018-11</c:v>
                </c:pt>
                <c:pt idx="50">
                  <c:v>2018-10</c:v>
                </c:pt>
                <c:pt idx="51">
                  <c:v>2018-09</c:v>
                </c:pt>
                <c:pt idx="52">
                  <c:v>2018-08</c:v>
                </c:pt>
                <c:pt idx="53">
                  <c:v>2018-07</c:v>
                </c:pt>
                <c:pt idx="54">
                  <c:v>2018-06</c:v>
                </c:pt>
                <c:pt idx="55">
                  <c:v>2018-05</c:v>
                </c:pt>
                <c:pt idx="56">
                  <c:v>2018-04</c:v>
                </c:pt>
                <c:pt idx="57">
                  <c:v>2018-03</c:v>
                </c:pt>
                <c:pt idx="58">
                  <c:v>2018-02</c:v>
                </c:pt>
                <c:pt idx="59">
                  <c:v>2018-01</c:v>
                </c:pt>
                <c:pt idx="60">
                  <c:v>2017-12</c:v>
                </c:pt>
                <c:pt idx="61">
                  <c:v>2017-11</c:v>
                </c:pt>
                <c:pt idx="62">
                  <c:v>2017-10</c:v>
                </c:pt>
                <c:pt idx="63">
                  <c:v>2017-09</c:v>
                </c:pt>
                <c:pt idx="64">
                  <c:v>2017-08</c:v>
                </c:pt>
                <c:pt idx="65">
                  <c:v>2017-07</c:v>
                </c:pt>
                <c:pt idx="66">
                  <c:v>2017-06</c:v>
                </c:pt>
                <c:pt idx="67">
                  <c:v>2017-05</c:v>
                </c:pt>
                <c:pt idx="68">
                  <c:v>2017-04</c:v>
                </c:pt>
                <c:pt idx="69">
                  <c:v>2017-03</c:v>
                </c:pt>
                <c:pt idx="70">
                  <c:v>2017-02</c:v>
                </c:pt>
                <c:pt idx="71">
                  <c:v>2017-01</c:v>
                </c:pt>
                <c:pt idx="72">
                  <c:v>2016-12</c:v>
                </c:pt>
                <c:pt idx="73">
                  <c:v>2016-11</c:v>
                </c:pt>
                <c:pt idx="74">
                  <c:v>2016-10</c:v>
                </c:pt>
                <c:pt idx="75">
                  <c:v>2016-09</c:v>
                </c:pt>
                <c:pt idx="76">
                  <c:v>2016-08</c:v>
                </c:pt>
                <c:pt idx="77">
                  <c:v>2016-07</c:v>
                </c:pt>
                <c:pt idx="78">
                  <c:v>2016-06</c:v>
                </c:pt>
                <c:pt idx="79">
                  <c:v>2016-05</c:v>
                </c:pt>
                <c:pt idx="80">
                  <c:v>2016-04</c:v>
                </c:pt>
                <c:pt idx="81">
                  <c:v>2016-03</c:v>
                </c:pt>
                <c:pt idx="82">
                  <c:v>2016-02</c:v>
                </c:pt>
                <c:pt idx="83">
                  <c:v>2016-01</c:v>
                </c:pt>
                <c:pt idx="84">
                  <c:v>2015-12</c:v>
                </c:pt>
                <c:pt idx="85">
                  <c:v>2015-11</c:v>
                </c:pt>
                <c:pt idx="86">
                  <c:v>2015-10</c:v>
                </c:pt>
                <c:pt idx="87">
                  <c:v>2015-09</c:v>
                </c:pt>
                <c:pt idx="88">
                  <c:v>2015-08</c:v>
                </c:pt>
                <c:pt idx="89">
                  <c:v>2015-07</c:v>
                </c:pt>
                <c:pt idx="90">
                  <c:v>2015-06</c:v>
                </c:pt>
                <c:pt idx="91">
                  <c:v>2015-05</c:v>
                </c:pt>
                <c:pt idx="92">
                  <c:v>2015-04</c:v>
                </c:pt>
                <c:pt idx="93">
                  <c:v>2015-03</c:v>
                </c:pt>
                <c:pt idx="94">
                  <c:v>2015-02</c:v>
                </c:pt>
                <c:pt idx="95">
                  <c:v>2015-01</c:v>
                </c:pt>
                <c:pt idx="96">
                  <c:v>2014-12</c:v>
                </c:pt>
                <c:pt idx="97">
                  <c:v>2014-11</c:v>
                </c:pt>
                <c:pt idx="98">
                  <c:v>2014-10</c:v>
                </c:pt>
                <c:pt idx="99">
                  <c:v>2014-09</c:v>
                </c:pt>
                <c:pt idx="100">
                  <c:v>2014-08</c:v>
                </c:pt>
                <c:pt idx="101">
                  <c:v>2014-07</c:v>
                </c:pt>
                <c:pt idx="102">
                  <c:v>2014-06</c:v>
                </c:pt>
                <c:pt idx="103">
                  <c:v>2014-05</c:v>
                </c:pt>
                <c:pt idx="104">
                  <c:v>2014-04</c:v>
                </c:pt>
                <c:pt idx="105">
                  <c:v>2014-03</c:v>
                </c:pt>
                <c:pt idx="106">
                  <c:v>2014-02</c:v>
                </c:pt>
                <c:pt idx="107">
                  <c:v>2014-01</c:v>
                </c:pt>
                <c:pt idx="108">
                  <c:v>2013-12</c:v>
                </c:pt>
                <c:pt idx="109">
                  <c:v>2013-11</c:v>
                </c:pt>
                <c:pt idx="110">
                  <c:v>2013-10</c:v>
                </c:pt>
                <c:pt idx="111">
                  <c:v>2013-09</c:v>
                </c:pt>
                <c:pt idx="112">
                  <c:v>2013-08</c:v>
                </c:pt>
                <c:pt idx="113">
                  <c:v>2013-07</c:v>
                </c:pt>
                <c:pt idx="114">
                  <c:v>2013-06</c:v>
                </c:pt>
                <c:pt idx="115">
                  <c:v>2013-05</c:v>
                </c:pt>
                <c:pt idx="116">
                  <c:v>2013-04</c:v>
                </c:pt>
                <c:pt idx="117">
                  <c:v>2013-03</c:v>
                </c:pt>
                <c:pt idx="118">
                  <c:v>2013-02</c:v>
                </c:pt>
                <c:pt idx="119">
                  <c:v>2013-01</c:v>
                </c:pt>
                <c:pt idx="120">
                  <c:v>2012-12</c:v>
                </c:pt>
                <c:pt idx="121">
                  <c:v>2012-11</c:v>
                </c:pt>
                <c:pt idx="122">
                  <c:v>2012-10</c:v>
                </c:pt>
                <c:pt idx="123">
                  <c:v>2012-09</c:v>
                </c:pt>
                <c:pt idx="124">
                  <c:v>2012-08</c:v>
                </c:pt>
                <c:pt idx="125">
                  <c:v>2012-07</c:v>
                </c:pt>
                <c:pt idx="126">
                  <c:v>2012-06</c:v>
                </c:pt>
                <c:pt idx="127">
                  <c:v>2012-05</c:v>
                </c:pt>
                <c:pt idx="128">
                  <c:v>2012-04</c:v>
                </c:pt>
                <c:pt idx="129">
                  <c:v>2012-03</c:v>
                </c:pt>
                <c:pt idx="130">
                  <c:v>2012-02</c:v>
                </c:pt>
                <c:pt idx="131">
                  <c:v>2012-01</c:v>
                </c:pt>
                <c:pt idx="132">
                  <c:v>2011-12</c:v>
                </c:pt>
                <c:pt idx="133">
                  <c:v>2011-11</c:v>
                </c:pt>
                <c:pt idx="134">
                  <c:v>2011-10</c:v>
                </c:pt>
                <c:pt idx="135">
                  <c:v>2011-09</c:v>
                </c:pt>
                <c:pt idx="136">
                  <c:v>2011-08</c:v>
                </c:pt>
                <c:pt idx="137">
                  <c:v>2011-07</c:v>
                </c:pt>
                <c:pt idx="138">
                  <c:v>2011-06</c:v>
                </c:pt>
                <c:pt idx="139">
                  <c:v>2011-05</c:v>
                </c:pt>
                <c:pt idx="140">
                  <c:v>2011-04</c:v>
                </c:pt>
                <c:pt idx="141">
                  <c:v>2011-03</c:v>
                </c:pt>
                <c:pt idx="142">
                  <c:v>2011-02</c:v>
                </c:pt>
                <c:pt idx="143">
                  <c:v>2011-01</c:v>
                </c:pt>
                <c:pt idx="144">
                  <c:v>2010-12</c:v>
                </c:pt>
                <c:pt idx="145">
                  <c:v>2010-11</c:v>
                </c:pt>
                <c:pt idx="146">
                  <c:v>2010-10</c:v>
                </c:pt>
                <c:pt idx="147">
                  <c:v>2010-09</c:v>
                </c:pt>
                <c:pt idx="148">
                  <c:v>2010-08</c:v>
                </c:pt>
                <c:pt idx="149">
                  <c:v>2010-07</c:v>
                </c:pt>
                <c:pt idx="150">
                  <c:v>2010-06</c:v>
                </c:pt>
                <c:pt idx="151">
                  <c:v>2010-05</c:v>
                </c:pt>
                <c:pt idx="152">
                  <c:v>2010-04</c:v>
                </c:pt>
                <c:pt idx="153">
                  <c:v>2010-03</c:v>
                </c:pt>
                <c:pt idx="154">
                  <c:v>2010-02</c:v>
                </c:pt>
                <c:pt idx="155">
                  <c:v>2010-01</c:v>
                </c:pt>
                <c:pt idx="156">
                  <c:v>2009-12</c:v>
                </c:pt>
                <c:pt idx="157">
                  <c:v>2009-11</c:v>
                </c:pt>
                <c:pt idx="158">
                  <c:v>2009-10</c:v>
                </c:pt>
                <c:pt idx="159">
                  <c:v>2009-09</c:v>
                </c:pt>
                <c:pt idx="160">
                  <c:v>2009-08</c:v>
                </c:pt>
                <c:pt idx="161">
                  <c:v>2009-07</c:v>
                </c:pt>
                <c:pt idx="162">
                  <c:v>2009-06</c:v>
                </c:pt>
                <c:pt idx="163">
                  <c:v>2009-05</c:v>
                </c:pt>
                <c:pt idx="164">
                  <c:v>2009-04</c:v>
                </c:pt>
                <c:pt idx="165">
                  <c:v>2009-03</c:v>
                </c:pt>
                <c:pt idx="166">
                  <c:v>2009-02</c:v>
                </c:pt>
                <c:pt idx="167">
                  <c:v>2009-01</c:v>
                </c:pt>
                <c:pt idx="168">
                  <c:v>2008-12</c:v>
                </c:pt>
                <c:pt idx="169">
                  <c:v>2008-11</c:v>
                </c:pt>
                <c:pt idx="170">
                  <c:v>2008-10</c:v>
                </c:pt>
                <c:pt idx="171">
                  <c:v>2008-09</c:v>
                </c:pt>
                <c:pt idx="172">
                  <c:v>2008-08</c:v>
                </c:pt>
                <c:pt idx="173">
                  <c:v>2008-07</c:v>
                </c:pt>
                <c:pt idx="174">
                  <c:v>2008-06</c:v>
                </c:pt>
                <c:pt idx="175">
                  <c:v>2008-05</c:v>
                </c:pt>
                <c:pt idx="176">
                  <c:v>2008-04</c:v>
                </c:pt>
                <c:pt idx="177">
                  <c:v>2008-03</c:v>
                </c:pt>
                <c:pt idx="178">
                  <c:v>2008-02</c:v>
                </c:pt>
                <c:pt idx="179">
                  <c:v>2008-01</c:v>
                </c:pt>
                <c:pt idx="180">
                  <c:v>2007-12</c:v>
                </c:pt>
                <c:pt idx="181">
                  <c:v>2007-11</c:v>
                </c:pt>
                <c:pt idx="182">
                  <c:v>2007-10</c:v>
                </c:pt>
                <c:pt idx="183">
                  <c:v>2007-09</c:v>
                </c:pt>
                <c:pt idx="184">
                  <c:v>2007-08</c:v>
                </c:pt>
                <c:pt idx="185">
                  <c:v>2007-07</c:v>
                </c:pt>
                <c:pt idx="186">
                  <c:v>2007-06</c:v>
                </c:pt>
                <c:pt idx="187">
                  <c:v>2007-05</c:v>
                </c:pt>
                <c:pt idx="188">
                  <c:v>2007-04</c:v>
                </c:pt>
                <c:pt idx="189">
                  <c:v>2007-03</c:v>
                </c:pt>
                <c:pt idx="190">
                  <c:v>2007-02</c:v>
                </c:pt>
                <c:pt idx="191">
                  <c:v>2007-01</c:v>
                </c:pt>
                <c:pt idx="192">
                  <c:v>2006-12</c:v>
                </c:pt>
                <c:pt idx="193">
                  <c:v>2006-11</c:v>
                </c:pt>
                <c:pt idx="194">
                  <c:v>2006-10</c:v>
                </c:pt>
                <c:pt idx="195">
                  <c:v>2006-09</c:v>
                </c:pt>
                <c:pt idx="196">
                  <c:v>2006-08</c:v>
                </c:pt>
                <c:pt idx="197">
                  <c:v>2006-07</c:v>
                </c:pt>
                <c:pt idx="198">
                  <c:v>2006-06</c:v>
                </c:pt>
                <c:pt idx="199">
                  <c:v>2006-05</c:v>
                </c:pt>
                <c:pt idx="200">
                  <c:v>2006-04</c:v>
                </c:pt>
                <c:pt idx="201">
                  <c:v>2006-03</c:v>
                </c:pt>
                <c:pt idx="202">
                  <c:v>2006-02</c:v>
                </c:pt>
                <c:pt idx="203">
                  <c:v>2006-01</c:v>
                </c:pt>
              </c:strCache>
            </c:strRef>
          </c:cat>
          <c:val>
            <c:numRef>
              <c:f>'Synthese-Electricite'!$H$2:$H$205</c:f>
              <c:numCache>
                <c:formatCode>General</c:formatCode>
                <c:ptCount val="204"/>
                <c:pt idx="0">
                  <c:v>280.3</c:v>
                </c:pt>
                <c:pt idx="1">
                  <c:v>144.9</c:v>
                </c:pt>
                <c:pt idx="2">
                  <c:v>17.2</c:v>
                </c:pt>
                <c:pt idx="3">
                  <c:v>0</c:v>
                </c:pt>
                <c:pt idx="4">
                  <c:v>0</c:v>
                </c:pt>
                <c:pt idx="5">
                  <c:v>0</c:v>
                </c:pt>
                <c:pt idx="6">
                  <c:v>0</c:v>
                </c:pt>
                <c:pt idx="7">
                  <c:v>20.100000000000001</c:v>
                </c:pt>
                <c:pt idx="8">
                  <c:v>0</c:v>
                </c:pt>
                <c:pt idx="9">
                  <c:v>173.3</c:v>
                </c:pt>
                <c:pt idx="10">
                  <c:v>208.4</c:v>
                </c:pt>
                <c:pt idx="11">
                  <c:v>321.8</c:v>
                </c:pt>
                <c:pt idx="12">
                  <c:v>260.3</c:v>
                </c:pt>
                <c:pt idx="13">
                  <c:v>233.5</c:v>
                </c:pt>
                <c:pt idx="14">
                  <c:v>81.3</c:v>
                </c:pt>
                <c:pt idx="15">
                  <c:v>0</c:v>
                </c:pt>
                <c:pt idx="16">
                  <c:v>0</c:v>
                </c:pt>
                <c:pt idx="17">
                  <c:v>0</c:v>
                </c:pt>
                <c:pt idx="18">
                  <c:v>0</c:v>
                </c:pt>
                <c:pt idx="19">
                  <c:v>79.2</c:v>
                </c:pt>
                <c:pt idx="20">
                  <c:v>167.2</c:v>
                </c:pt>
                <c:pt idx="21">
                  <c:v>209.3</c:v>
                </c:pt>
                <c:pt idx="22">
                  <c:v>210.2</c:v>
                </c:pt>
                <c:pt idx="23">
                  <c:v>0</c:v>
                </c:pt>
                <c:pt idx="24">
                  <c:v>264.2</c:v>
                </c:pt>
                <c:pt idx="25">
                  <c:v>0</c:v>
                </c:pt>
                <c:pt idx="26">
                  <c:v>87.4</c:v>
                </c:pt>
                <c:pt idx="27">
                  <c:v>0</c:v>
                </c:pt>
                <c:pt idx="28">
                  <c:v>0</c:v>
                </c:pt>
                <c:pt idx="29">
                  <c:v>0</c:v>
                </c:pt>
                <c:pt idx="30">
                  <c:v>0</c:v>
                </c:pt>
                <c:pt idx="31">
                  <c:v>36.200000000000003</c:v>
                </c:pt>
                <c:pt idx="32">
                  <c:v>58.6</c:v>
                </c:pt>
                <c:pt idx="33">
                  <c:v>0</c:v>
                </c:pt>
                <c:pt idx="34">
                  <c:v>181.1</c:v>
                </c:pt>
                <c:pt idx="35">
                  <c:v>259.8</c:v>
                </c:pt>
                <c:pt idx="36">
                  <c:v>235.4</c:v>
                </c:pt>
                <c:pt idx="37">
                  <c:v>206.5</c:v>
                </c:pt>
                <c:pt idx="38">
                  <c:v>50.8</c:v>
                </c:pt>
                <c:pt idx="39">
                  <c:v>0</c:v>
                </c:pt>
                <c:pt idx="40">
                  <c:v>0</c:v>
                </c:pt>
                <c:pt idx="41">
                  <c:v>0</c:v>
                </c:pt>
                <c:pt idx="42">
                  <c:v>0</c:v>
                </c:pt>
                <c:pt idx="43">
                  <c:v>71.7</c:v>
                </c:pt>
                <c:pt idx="44">
                  <c:v>124.7</c:v>
                </c:pt>
                <c:pt idx="45">
                  <c:v>171.3</c:v>
                </c:pt>
                <c:pt idx="46">
                  <c:v>209.8</c:v>
                </c:pt>
                <c:pt idx="47">
                  <c:v>338.4</c:v>
                </c:pt>
                <c:pt idx="48">
                  <c:v>242.9</c:v>
                </c:pt>
                <c:pt idx="49">
                  <c:v>187.1</c:v>
                </c:pt>
                <c:pt idx="50">
                  <c:v>0</c:v>
                </c:pt>
                <c:pt idx="51">
                  <c:v>0</c:v>
                </c:pt>
                <c:pt idx="52">
                  <c:v>0</c:v>
                </c:pt>
                <c:pt idx="53">
                  <c:v>0</c:v>
                </c:pt>
                <c:pt idx="54">
                  <c:v>0</c:v>
                </c:pt>
                <c:pt idx="55">
                  <c:v>37.799999999999997</c:v>
                </c:pt>
                <c:pt idx="56">
                  <c:v>73.3</c:v>
                </c:pt>
                <c:pt idx="57">
                  <c:v>234.4</c:v>
                </c:pt>
                <c:pt idx="58">
                  <c:v>344.7</c:v>
                </c:pt>
                <c:pt idx="59">
                  <c:v>223.9</c:v>
                </c:pt>
                <c:pt idx="60">
                  <c:v>298.2</c:v>
                </c:pt>
                <c:pt idx="61">
                  <c:v>218.7</c:v>
                </c:pt>
                <c:pt idx="62">
                  <c:v>0</c:v>
                </c:pt>
                <c:pt idx="63">
                  <c:v>0</c:v>
                </c:pt>
                <c:pt idx="64">
                  <c:v>0</c:v>
                </c:pt>
                <c:pt idx="65">
                  <c:v>0</c:v>
                </c:pt>
                <c:pt idx="66">
                  <c:v>0</c:v>
                </c:pt>
                <c:pt idx="67">
                  <c:v>42.1</c:v>
                </c:pt>
                <c:pt idx="68">
                  <c:v>134.1</c:v>
                </c:pt>
                <c:pt idx="69">
                  <c:v>142.80000000000001</c:v>
                </c:pt>
                <c:pt idx="70">
                  <c:v>207.1</c:v>
                </c:pt>
                <c:pt idx="71">
                  <c:v>391.3</c:v>
                </c:pt>
                <c:pt idx="72">
                  <c:v>303.2</c:v>
                </c:pt>
                <c:pt idx="73">
                  <c:v>203.5</c:v>
                </c:pt>
                <c:pt idx="74">
                  <c:v>104.8</c:v>
                </c:pt>
                <c:pt idx="75">
                  <c:v>0</c:v>
                </c:pt>
                <c:pt idx="76">
                  <c:v>0</c:v>
                </c:pt>
                <c:pt idx="77">
                  <c:v>0</c:v>
                </c:pt>
                <c:pt idx="78">
                  <c:v>0</c:v>
                </c:pt>
                <c:pt idx="79">
                  <c:v>50.4</c:v>
                </c:pt>
                <c:pt idx="80">
                  <c:v>143.1</c:v>
                </c:pt>
                <c:pt idx="81">
                  <c:v>241.2</c:v>
                </c:pt>
                <c:pt idx="82">
                  <c:v>242.7</c:v>
                </c:pt>
                <c:pt idx="83">
                  <c:v>269.60000000000002</c:v>
                </c:pt>
                <c:pt idx="84">
                  <c:v>176.2</c:v>
                </c:pt>
                <c:pt idx="85">
                  <c:v>135.4</c:v>
                </c:pt>
                <c:pt idx="86">
                  <c:v>0</c:v>
                </c:pt>
                <c:pt idx="87">
                  <c:v>0</c:v>
                </c:pt>
                <c:pt idx="88">
                  <c:v>0</c:v>
                </c:pt>
                <c:pt idx="89">
                  <c:v>0</c:v>
                </c:pt>
                <c:pt idx="90">
                  <c:v>0</c:v>
                </c:pt>
                <c:pt idx="91">
                  <c:v>43.6</c:v>
                </c:pt>
                <c:pt idx="92">
                  <c:v>98.8</c:v>
                </c:pt>
                <c:pt idx="93">
                  <c:v>204.8</c:v>
                </c:pt>
                <c:pt idx="94">
                  <c:v>299.60000000000002</c:v>
                </c:pt>
                <c:pt idx="95">
                  <c:v>310.60000000000002</c:v>
                </c:pt>
                <c:pt idx="96">
                  <c:v>287.2</c:v>
                </c:pt>
                <c:pt idx="97">
                  <c:v>136.4</c:v>
                </c:pt>
                <c:pt idx="98">
                  <c:v>37.9</c:v>
                </c:pt>
                <c:pt idx="99">
                  <c:v>0</c:v>
                </c:pt>
                <c:pt idx="100">
                  <c:v>0</c:v>
                </c:pt>
                <c:pt idx="101">
                  <c:v>0</c:v>
                </c:pt>
                <c:pt idx="102">
                  <c:v>0</c:v>
                </c:pt>
                <c:pt idx="103">
                  <c:v>51.6</c:v>
                </c:pt>
                <c:pt idx="104">
                  <c:v>83.8</c:v>
                </c:pt>
                <c:pt idx="105">
                  <c:v>175.4</c:v>
                </c:pt>
                <c:pt idx="106">
                  <c:v>214.4</c:v>
                </c:pt>
                <c:pt idx="107">
                  <c:v>246.8</c:v>
                </c:pt>
                <c:pt idx="108">
                  <c:v>278.3</c:v>
                </c:pt>
                <c:pt idx="109">
                  <c:v>229.4</c:v>
                </c:pt>
                <c:pt idx="110">
                  <c:v>52.9</c:v>
                </c:pt>
                <c:pt idx="111">
                  <c:v>0</c:v>
                </c:pt>
                <c:pt idx="112">
                  <c:v>0</c:v>
                </c:pt>
                <c:pt idx="113">
                  <c:v>0</c:v>
                </c:pt>
                <c:pt idx="114">
                  <c:v>0</c:v>
                </c:pt>
                <c:pt idx="115">
                  <c:v>96.9</c:v>
                </c:pt>
                <c:pt idx="116">
                  <c:v>151.1</c:v>
                </c:pt>
                <c:pt idx="117">
                  <c:v>273.5</c:v>
                </c:pt>
                <c:pt idx="118">
                  <c:v>333.4</c:v>
                </c:pt>
                <c:pt idx="119">
                  <c:v>341.4</c:v>
                </c:pt>
                <c:pt idx="120">
                  <c:v>270.60000000000002</c:v>
                </c:pt>
                <c:pt idx="121">
                  <c:v>197.8</c:v>
                </c:pt>
                <c:pt idx="122">
                  <c:v>87.2</c:v>
                </c:pt>
                <c:pt idx="123">
                  <c:v>0</c:v>
                </c:pt>
                <c:pt idx="124">
                  <c:v>0</c:v>
                </c:pt>
                <c:pt idx="125">
                  <c:v>0</c:v>
                </c:pt>
                <c:pt idx="126">
                  <c:v>0</c:v>
                </c:pt>
                <c:pt idx="127">
                  <c:v>47.9</c:v>
                </c:pt>
                <c:pt idx="128">
                  <c:v>157.4</c:v>
                </c:pt>
                <c:pt idx="129">
                  <c:v>156.4</c:v>
                </c:pt>
                <c:pt idx="130">
                  <c:v>393.3</c:v>
                </c:pt>
                <c:pt idx="131">
                  <c:v>281.8</c:v>
                </c:pt>
                <c:pt idx="132">
                  <c:v>0</c:v>
                </c:pt>
                <c:pt idx="133">
                  <c:v>145.19999999999999</c:v>
                </c:pt>
                <c:pt idx="134">
                  <c:v>71.5</c:v>
                </c:pt>
                <c:pt idx="135">
                  <c:v>0</c:v>
                </c:pt>
                <c:pt idx="136">
                  <c:v>0</c:v>
                </c:pt>
                <c:pt idx="137">
                  <c:v>0</c:v>
                </c:pt>
                <c:pt idx="138">
                  <c:v>0</c:v>
                </c:pt>
                <c:pt idx="139">
                  <c:v>24.3</c:v>
                </c:pt>
                <c:pt idx="140">
                  <c:v>0</c:v>
                </c:pt>
                <c:pt idx="141">
                  <c:v>189.5</c:v>
                </c:pt>
                <c:pt idx="142">
                  <c:v>237.8</c:v>
                </c:pt>
                <c:pt idx="143">
                  <c:v>322.10000000000002</c:v>
                </c:pt>
                <c:pt idx="144">
                  <c:v>408.2</c:v>
                </c:pt>
                <c:pt idx="145">
                  <c:v>224.6</c:v>
                </c:pt>
                <c:pt idx="146">
                  <c:v>114.8</c:v>
                </c:pt>
                <c:pt idx="147">
                  <c:v>0</c:v>
                </c:pt>
                <c:pt idx="148">
                  <c:v>0</c:v>
                </c:pt>
                <c:pt idx="149">
                  <c:v>0</c:v>
                </c:pt>
                <c:pt idx="150">
                  <c:v>0</c:v>
                </c:pt>
                <c:pt idx="151">
                  <c:v>89.9</c:v>
                </c:pt>
                <c:pt idx="152">
                  <c:v>116.6</c:v>
                </c:pt>
                <c:pt idx="153">
                  <c:v>0</c:v>
                </c:pt>
                <c:pt idx="154">
                  <c:v>301.7</c:v>
                </c:pt>
                <c:pt idx="155">
                  <c:v>415.5</c:v>
                </c:pt>
                <c:pt idx="156">
                  <c:v>323.39999999999998</c:v>
                </c:pt>
                <c:pt idx="157">
                  <c:v>142.9</c:v>
                </c:pt>
                <c:pt idx="158">
                  <c:v>0</c:v>
                </c:pt>
                <c:pt idx="159">
                  <c:v>0</c:v>
                </c:pt>
                <c:pt idx="160">
                  <c:v>0</c:v>
                </c:pt>
                <c:pt idx="161">
                  <c:v>0</c:v>
                </c:pt>
                <c:pt idx="162">
                  <c:v>0</c:v>
                </c:pt>
                <c:pt idx="163">
                  <c:v>32.4</c:v>
                </c:pt>
                <c:pt idx="164">
                  <c:v>94.5</c:v>
                </c:pt>
                <c:pt idx="165">
                  <c:v>224.9</c:v>
                </c:pt>
                <c:pt idx="166">
                  <c:v>292.60000000000002</c:v>
                </c:pt>
                <c:pt idx="167">
                  <c:v>391.8</c:v>
                </c:pt>
                <c:pt idx="168">
                  <c:v>346.8</c:v>
                </c:pt>
                <c:pt idx="169">
                  <c:v>212.9</c:v>
                </c:pt>
                <c:pt idx="170">
                  <c:v>109.9</c:v>
                </c:pt>
                <c:pt idx="171">
                  <c:v>0</c:v>
                </c:pt>
                <c:pt idx="172">
                  <c:v>0</c:v>
                </c:pt>
                <c:pt idx="173">
                  <c:v>0</c:v>
                </c:pt>
                <c:pt idx="174">
                  <c:v>0</c:v>
                </c:pt>
                <c:pt idx="175">
                  <c:v>19.3</c:v>
                </c:pt>
                <c:pt idx="176">
                  <c:v>148.19999999999999</c:v>
                </c:pt>
                <c:pt idx="177">
                  <c:v>0</c:v>
                </c:pt>
                <c:pt idx="178">
                  <c:v>230.9</c:v>
                </c:pt>
                <c:pt idx="179">
                  <c:v>257.89999999999998</c:v>
                </c:pt>
                <c:pt idx="180">
                  <c:v>0</c:v>
                </c:pt>
                <c:pt idx="181">
                  <c:v>240.3</c:v>
                </c:pt>
                <c:pt idx="182">
                  <c:v>111.7</c:v>
                </c:pt>
                <c:pt idx="183">
                  <c:v>0</c:v>
                </c:pt>
                <c:pt idx="184">
                  <c:v>0</c:v>
                </c:pt>
                <c:pt idx="185">
                  <c:v>0</c:v>
                </c:pt>
                <c:pt idx="186">
                  <c:v>0</c:v>
                </c:pt>
                <c:pt idx="187">
                  <c:v>34.5</c:v>
                </c:pt>
                <c:pt idx="188">
                  <c:v>54.9</c:v>
                </c:pt>
                <c:pt idx="189">
                  <c:v>212.2</c:v>
                </c:pt>
                <c:pt idx="190">
                  <c:v>0</c:v>
                </c:pt>
                <c:pt idx="191">
                  <c:v>244.1</c:v>
                </c:pt>
                <c:pt idx="192">
                  <c:v>287.8</c:v>
                </c:pt>
                <c:pt idx="193">
                  <c:v>152.5</c:v>
                </c:pt>
                <c:pt idx="194">
                  <c:v>23.8</c:v>
                </c:pt>
                <c:pt idx="195">
                  <c:v>0</c:v>
                </c:pt>
                <c:pt idx="196">
                  <c:v>0</c:v>
                </c:pt>
                <c:pt idx="197">
                  <c:v>0</c:v>
                </c:pt>
                <c:pt idx="198">
                  <c:v>0</c:v>
                </c:pt>
                <c:pt idx="199">
                  <c:v>43.1</c:v>
                </c:pt>
                <c:pt idx="200">
                  <c:v>128.4</c:v>
                </c:pt>
                <c:pt idx="201">
                  <c:v>248.4</c:v>
                </c:pt>
                <c:pt idx="202">
                  <c:v>318.39999999999998</c:v>
                </c:pt>
                <c:pt idx="203">
                  <c:v>0</c:v>
                </c:pt>
              </c:numCache>
            </c:numRef>
          </c:val>
          <c:smooth val="1"/>
          <c:extLst>
            <c:ext xmlns:c16="http://schemas.microsoft.com/office/drawing/2014/chart" uri="{C3380CC4-5D6E-409C-BE32-E72D297353CC}">
              <c16:uniqueId val="{00000000-6C94-459B-BC10-3C2AD2CF811F}"/>
            </c:ext>
          </c:extLst>
        </c:ser>
        <c:dLbls>
          <c:showLegendKey val="0"/>
          <c:showVal val="0"/>
          <c:showCatName val="0"/>
          <c:showSerName val="0"/>
          <c:showPercent val="0"/>
          <c:showBubbleSize val="0"/>
        </c:dLbls>
        <c:smooth val="0"/>
        <c:axId val="1587272528"/>
        <c:axId val="1587275024"/>
      </c:lineChart>
      <c:catAx>
        <c:axId val="1587272528"/>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Années</a:t>
                </a:r>
              </a:p>
            </c:rich>
          </c:tx>
          <c:layout>
            <c:manualLayout>
              <c:xMode val="edge"/>
              <c:yMode val="edge"/>
              <c:x val="0.45212998943023675"/>
              <c:y val="0.932776036309751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87275024"/>
        <c:crosses val="autoZero"/>
        <c:auto val="1"/>
        <c:lblAlgn val="ctr"/>
        <c:lblOffset val="100"/>
        <c:tickLblSkip val="15"/>
        <c:noMultiLvlLbl val="0"/>
      </c:catAx>
      <c:valAx>
        <c:axId val="1587275024"/>
        <c:scaling>
          <c:orientation val="minMax"/>
          <c:min val="0"/>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DJU (Degrés</a:t>
                </a:r>
                <a:r>
                  <a:rPr lang="fr-FR" baseline="0"/>
                  <a:t> Jours Unifiés</a:t>
                </a:r>
                <a:r>
                  <a:rPr lang="fr-FR"/>
                  <a:t>)</a:t>
                </a:r>
              </a:p>
            </c:rich>
          </c:tx>
          <c:layout>
            <c:manualLayout>
              <c:xMode val="edge"/>
              <c:yMode val="edge"/>
              <c:x val="0.95118066535904455"/>
              <c:y val="0.3054997165600322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872725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0847780659618433"/>
          <c:y val="0.10961956304794533"/>
          <c:w val="0.84658812035497044"/>
          <c:h val="0.78405371988342354"/>
        </c:manualLayout>
      </c:layout>
      <c:scatterChart>
        <c:scatterStyle val="lineMarker"/>
        <c:varyColors val="0"/>
        <c:ser>
          <c:idx val="0"/>
          <c:order val="0"/>
          <c:tx>
            <c:strRef>
              <c:f>'Synthese-Electricite'!$H$1</c:f>
              <c:strCache>
                <c:ptCount val="1"/>
                <c:pt idx="0">
                  <c:v>DJU</c:v>
                </c:pt>
              </c:strCache>
            </c:strRef>
          </c:tx>
          <c:spPr>
            <a:ln w="19050" cap="rnd">
              <a:noFill/>
              <a:round/>
            </a:ln>
            <a:effectLst/>
          </c:spPr>
          <c:marker>
            <c:symbol val="circle"/>
            <c:size val="3"/>
            <c:spPr>
              <a:solidFill>
                <a:schemeClr val="accent1"/>
              </a:solidFill>
              <a:ln w="9525">
                <a:solidFill>
                  <a:schemeClr val="accent1"/>
                </a:solidFill>
              </a:ln>
              <a:effectLst/>
            </c:spPr>
          </c:marker>
          <c:dPt>
            <c:idx val="1"/>
            <c:marker>
              <c:symbol val="circle"/>
              <c:size val="3"/>
              <c:spPr>
                <a:solidFill>
                  <a:schemeClr val="accent1"/>
                </a:solidFill>
                <a:ln w="9525">
                  <a:solidFill>
                    <a:schemeClr val="accent1"/>
                  </a:solidFill>
                </a:ln>
                <a:effectLst/>
              </c:spPr>
            </c:marker>
            <c:bubble3D val="0"/>
            <c:spPr>
              <a:ln w="19050" cap="rnd">
                <a:noFill/>
                <a:round/>
              </a:ln>
              <a:effectLst>
                <a:softEdge rad="0"/>
              </a:effectLst>
            </c:spPr>
            <c:extLst>
              <c:ext xmlns:c16="http://schemas.microsoft.com/office/drawing/2014/chart" uri="{C3380CC4-5D6E-409C-BE32-E72D297353CC}">
                <c16:uniqueId val="{00000001-F380-4E9C-895D-3E473C165A30}"/>
              </c:ext>
            </c:extLst>
          </c:dPt>
          <c:trendline>
            <c:spPr>
              <a:ln w="50800" cap="rnd">
                <a:solidFill>
                  <a:srgbClr val="FF0000"/>
                </a:solidFill>
                <a:prstDash val="sysDot"/>
              </a:ln>
              <a:effectLst/>
            </c:spPr>
            <c:trendlineType val="linear"/>
            <c:dispRSqr val="1"/>
            <c:dispEq val="1"/>
            <c:trendlineLbl>
              <c:layout>
                <c:manualLayout>
                  <c:x val="-0.56077008416757268"/>
                  <c:y val="-0.3109199919515977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trendlineLbl>
          </c:trendline>
          <c:xVal>
            <c:numRef>
              <c:f>'Synthese-Electricite'!$F$2:$F$145</c:f>
              <c:numCache>
                <c:formatCode>General</c:formatCode>
                <c:ptCount val="144"/>
                <c:pt idx="0">
                  <c:v>101739.33</c:v>
                </c:pt>
                <c:pt idx="1">
                  <c:v>82618.320999999996</c:v>
                </c:pt>
                <c:pt idx="2">
                  <c:v>77235.451000000001</c:v>
                </c:pt>
                <c:pt idx="3">
                  <c:v>68889.017999999996</c:v>
                </c:pt>
                <c:pt idx="4">
                  <c:v>67857.819000000003</c:v>
                </c:pt>
                <c:pt idx="5">
                  <c:v>71804.539999999994</c:v>
                </c:pt>
                <c:pt idx="6">
                  <c:v>72673.888999999996</c:v>
                </c:pt>
                <c:pt idx="7">
                  <c:v>76347.869000000006</c:v>
                </c:pt>
                <c:pt idx="8">
                  <c:v>81476.797000000006</c:v>
                </c:pt>
                <c:pt idx="9">
                  <c:v>98215.301999999996</c:v>
                </c:pt>
                <c:pt idx="10">
                  <c:v>105420.47100000001</c:v>
                </c:pt>
                <c:pt idx="11">
                  <c:v>122244.81299999999</c:v>
                </c:pt>
                <c:pt idx="12">
                  <c:v>113862.836</c:v>
                </c:pt>
                <c:pt idx="13">
                  <c:v>103338.44899999999</c:v>
                </c:pt>
                <c:pt idx="14">
                  <c:v>100824.03200000001</c:v>
                </c:pt>
                <c:pt idx="15">
                  <c:v>93302.29</c:v>
                </c:pt>
                <c:pt idx="16">
                  <c:v>94077.998999999996</c:v>
                </c:pt>
                <c:pt idx="17">
                  <c:v>93748.603000000003</c:v>
                </c:pt>
                <c:pt idx="18">
                  <c:v>89891.153999999995</c:v>
                </c:pt>
                <c:pt idx="19">
                  <c:v>91972.191999999995</c:v>
                </c:pt>
                <c:pt idx="20">
                  <c:v>92509.194000000003</c:v>
                </c:pt>
                <c:pt idx="21">
                  <c:v>108001.88499999999</c:v>
                </c:pt>
                <c:pt idx="22">
                  <c:v>107337.637</c:v>
                </c:pt>
                <c:pt idx="23">
                  <c:v>126996.304</c:v>
                </c:pt>
                <c:pt idx="24">
                  <c:v>118633.62699999999</c:v>
                </c:pt>
                <c:pt idx="25">
                  <c:v>106034.62699999999</c:v>
                </c:pt>
                <c:pt idx="26">
                  <c:v>97153.659</c:v>
                </c:pt>
                <c:pt idx="27">
                  <c:v>77356.474000000002</c:v>
                </c:pt>
                <c:pt idx="28">
                  <c:v>78900.646999999997</c:v>
                </c:pt>
                <c:pt idx="29">
                  <c:v>79794.891000000003</c:v>
                </c:pt>
                <c:pt idx="30">
                  <c:v>75457.934999999998</c:v>
                </c:pt>
                <c:pt idx="31">
                  <c:v>84761.683000000005</c:v>
                </c:pt>
                <c:pt idx="32">
                  <c:v>91742.873000000007</c:v>
                </c:pt>
                <c:pt idx="33">
                  <c:v>104942.89</c:v>
                </c:pt>
                <c:pt idx="34">
                  <c:v>112056.784</c:v>
                </c:pt>
                <c:pt idx="35">
                  <c:v>127652.379</c:v>
                </c:pt>
                <c:pt idx="36">
                  <c:v>116757.08500000001</c:v>
                </c:pt>
                <c:pt idx="37">
                  <c:v>101727.058</c:v>
                </c:pt>
                <c:pt idx="38">
                  <c:v>98557.437000000005</c:v>
                </c:pt>
                <c:pt idx="39">
                  <c:v>89656.631999999998</c:v>
                </c:pt>
                <c:pt idx="40">
                  <c:v>89475.376999999993</c:v>
                </c:pt>
                <c:pt idx="41">
                  <c:v>95641.773000000001</c:v>
                </c:pt>
                <c:pt idx="42">
                  <c:v>92925.342000000004</c:v>
                </c:pt>
                <c:pt idx="43">
                  <c:v>101378.798</c:v>
                </c:pt>
                <c:pt idx="44">
                  <c:v>104769.129</c:v>
                </c:pt>
                <c:pt idx="45">
                  <c:v>118562.564</c:v>
                </c:pt>
                <c:pt idx="46">
                  <c:v>119624.963</c:v>
                </c:pt>
                <c:pt idx="47">
                  <c:v>133434.58600000001</c:v>
                </c:pt>
                <c:pt idx="48">
                  <c:v>128804.89200000001</c:v>
                </c:pt>
                <c:pt idx="49">
                  <c:v>110141.77800000001</c:v>
                </c:pt>
                <c:pt idx="50">
                  <c:v>103174.075</c:v>
                </c:pt>
                <c:pt idx="51">
                  <c:v>96200.369000000006</c:v>
                </c:pt>
                <c:pt idx="52">
                  <c:v>89685.150999999998</c:v>
                </c:pt>
                <c:pt idx="53">
                  <c:v>97487.360000000001</c:v>
                </c:pt>
                <c:pt idx="54">
                  <c:v>93112.986999999994</c:v>
                </c:pt>
                <c:pt idx="55">
                  <c:v>101143.84699999999</c:v>
                </c:pt>
                <c:pt idx="56">
                  <c:v>104119.656</c:v>
                </c:pt>
                <c:pt idx="57">
                  <c:v>119066.515</c:v>
                </c:pt>
                <c:pt idx="58">
                  <c:v>121378.588</c:v>
                </c:pt>
                <c:pt idx="59">
                  <c:v>137924.897</c:v>
                </c:pt>
                <c:pt idx="60">
                  <c:v>126402.583</c:v>
                </c:pt>
                <c:pt idx="61">
                  <c:v>103027.705</c:v>
                </c:pt>
                <c:pt idx="62">
                  <c:v>94094.212</c:v>
                </c:pt>
                <c:pt idx="63">
                  <c:v>94579.952999999994</c:v>
                </c:pt>
                <c:pt idx="64">
                  <c:v>92577.668999999994</c:v>
                </c:pt>
                <c:pt idx="65">
                  <c:v>91963.101999999999</c:v>
                </c:pt>
                <c:pt idx="66">
                  <c:v>89238.354000000007</c:v>
                </c:pt>
                <c:pt idx="67">
                  <c:v>98583.262000000002</c:v>
                </c:pt>
                <c:pt idx="68">
                  <c:v>101559.806</c:v>
                </c:pt>
                <c:pt idx="69">
                  <c:v>115976.24400000001</c:v>
                </c:pt>
                <c:pt idx="70">
                  <c:v>113502.993</c:v>
                </c:pt>
                <c:pt idx="71">
                  <c:v>132932.36499999999</c:v>
                </c:pt>
                <c:pt idx="72">
                  <c:v>121746.79399999999</c:v>
                </c:pt>
                <c:pt idx="73">
                  <c:v>105120.86900000001</c:v>
                </c:pt>
                <c:pt idx="74">
                  <c:v>94924.881999999998</c:v>
                </c:pt>
                <c:pt idx="75">
                  <c:v>87030.551999999996</c:v>
                </c:pt>
                <c:pt idx="76">
                  <c:v>89063.804999999993</c:v>
                </c:pt>
                <c:pt idx="77">
                  <c:v>93365.251999999993</c:v>
                </c:pt>
                <c:pt idx="78">
                  <c:v>93667.933999999994</c:v>
                </c:pt>
                <c:pt idx="79">
                  <c:v>97483.324999999997</c:v>
                </c:pt>
                <c:pt idx="80">
                  <c:v>102910.13</c:v>
                </c:pt>
                <c:pt idx="81">
                  <c:v>120861.255</c:v>
                </c:pt>
                <c:pt idx="82">
                  <c:v>121057.969</c:v>
                </c:pt>
                <c:pt idx="83">
                  <c:v>137200.48300000001</c:v>
                </c:pt>
                <c:pt idx="84">
                  <c:v>131878.228</c:v>
                </c:pt>
                <c:pt idx="85">
                  <c:v>117025.652</c:v>
                </c:pt>
                <c:pt idx="86">
                  <c:v>108690.212</c:v>
                </c:pt>
                <c:pt idx="87">
                  <c:v>98332.945999999996</c:v>
                </c:pt>
                <c:pt idx="88">
                  <c:v>100290.107</c:v>
                </c:pt>
                <c:pt idx="89">
                  <c:v>106188.031</c:v>
                </c:pt>
                <c:pt idx="90">
                  <c:v>99228.376999999993</c:v>
                </c:pt>
                <c:pt idx="91">
                  <c:v>99710.020999999993</c:v>
                </c:pt>
                <c:pt idx="92">
                  <c:v>104238.194</c:v>
                </c:pt>
                <c:pt idx="93">
                  <c:v>121420.841</c:v>
                </c:pt>
                <c:pt idx="94">
                  <c:v>124040.258</c:v>
                </c:pt>
                <c:pt idx="95">
                  <c:v>142068.386</c:v>
                </c:pt>
                <c:pt idx="96">
                  <c:v>135360.068</c:v>
                </c:pt>
                <c:pt idx="97">
                  <c:v>118985.633</c:v>
                </c:pt>
                <c:pt idx="98">
                  <c:v>108071.08100000001</c:v>
                </c:pt>
                <c:pt idx="99">
                  <c:v>101267.886</c:v>
                </c:pt>
                <c:pt idx="100">
                  <c:v>100251.541</c:v>
                </c:pt>
                <c:pt idx="101">
                  <c:v>106406.202</c:v>
                </c:pt>
                <c:pt idx="102">
                  <c:v>98834.731</c:v>
                </c:pt>
                <c:pt idx="103">
                  <c:v>100689.303</c:v>
                </c:pt>
                <c:pt idx="104">
                  <c:v>104416.71799999999</c:v>
                </c:pt>
                <c:pt idx="105">
                  <c:v>119372.99400000001</c:v>
                </c:pt>
                <c:pt idx="106">
                  <c:v>123315.409</c:v>
                </c:pt>
                <c:pt idx="107">
                  <c:v>141988.77100000001</c:v>
                </c:pt>
                <c:pt idx="108">
                  <c:v>133477.69699999999</c:v>
                </c:pt>
                <c:pt idx="109">
                  <c:v>114378.76700000001</c:v>
                </c:pt>
                <c:pt idx="110">
                  <c:v>103602.09699999999</c:v>
                </c:pt>
                <c:pt idx="111">
                  <c:v>95267.828999999998</c:v>
                </c:pt>
                <c:pt idx="112">
                  <c:v>94410.301000000007</c:v>
                </c:pt>
                <c:pt idx="113">
                  <c:v>100539.86599999999</c:v>
                </c:pt>
                <c:pt idx="114">
                  <c:v>95271.593999999997</c:v>
                </c:pt>
                <c:pt idx="115">
                  <c:v>100798.121</c:v>
                </c:pt>
                <c:pt idx="116">
                  <c:v>105144.986</c:v>
                </c:pt>
                <c:pt idx="117">
                  <c:v>117945.99</c:v>
                </c:pt>
                <c:pt idx="118">
                  <c:v>121653.34600000001</c:v>
                </c:pt>
                <c:pt idx="119">
                  <c:v>137794.986</c:v>
                </c:pt>
                <c:pt idx="120">
                  <c:v>131612.47899999999</c:v>
                </c:pt>
                <c:pt idx="121">
                  <c:v>120039.368</c:v>
                </c:pt>
                <c:pt idx="122">
                  <c:v>107111.125</c:v>
                </c:pt>
                <c:pt idx="123">
                  <c:v>96929.414000000004</c:v>
                </c:pt>
                <c:pt idx="124">
                  <c:v>91486.59</c:v>
                </c:pt>
                <c:pt idx="125">
                  <c:v>95154.142000000007</c:v>
                </c:pt>
                <c:pt idx="126">
                  <c:v>89777.911999999997</c:v>
                </c:pt>
                <c:pt idx="127">
                  <c:v>97823.307000000001</c:v>
                </c:pt>
                <c:pt idx="128">
                  <c:v>107680.724</c:v>
                </c:pt>
                <c:pt idx="129">
                  <c:v>122394.708</c:v>
                </c:pt>
                <c:pt idx="130">
                  <c:v>122863.35400000001</c:v>
                </c:pt>
                <c:pt idx="131">
                  <c:v>140006.758</c:v>
                </c:pt>
                <c:pt idx="132">
                  <c:v>131284.288</c:v>
                </c:pt>
                <c:pt idx="133">
                  <c:v>111091.747</c:v>
                </c:pt>
                <c:pt idx="134">
                  <c:v>105485.333</c:v>
                </c:pt>
                <c:pt idx="135">
                  <c:v>100310.711</c:v>
                </c:pt>
                <c:pt idx="136">
                  <c:v>100757.18</c:v>
                </c:pt>
                <c:pt idx="137">
                  <c:v>105693.101</c:v>
                </c:pt>
                <c:pt idx="138">
                  <c:v>103686.879</c:v>
                </c:pt>
                <c:pt idx="139">
                  <c:v>106048.662</c:v>
                </c:pt>
                <c:pt idx="140">
                  <c:v>107686.867</c:v>
                </c:pt>
                <c:pt idx="141">
                  <c:v>121598.295</c:v>
                </c:pt>
                <c:pt idx="142">
                  <c:v>124086.333</c:v>
                </c:pt>
                <c:pt idx="143">
                  <c:v>141886.171</c:v>
                </c:pt>
              </c:numCache>
            </c:numRef>
          </c:xVal>
          <c:yVal>
            <c:numRef>
              <c:f>'Synthese-Electricite'!$H$2:$H$145</c:f>
              <c:numCache>
                <c:formatCode>General</c:formatCode>
                <c:ptCount val="144"/>
                <c:pt idx="0">
                  <c:v>280.3</c:v>
                </c:pt>
                <c:pt idx="1">
                  <c:v>144.9</c:v>
                </c:pt>
                <c:pt idx="2">
                  <c:v>17.2</c:v>
                </c:pt>
                <c:pt idx="3">
                  <c:v>0</c:v>
                </c:pt>
                <c:pt idx="4">
                  <c:v>0</c:v>
                </c:pt>
                <c:pt idx="5">
                  <c:v>0</c:v>
                </c:pt>
                <c:pt idx="6">
                  <c:v>0</c:v>
                </c:pt>
                <c:pt idx="7">
                  <c:v>20.100000000000001</c:v>
                </c:pt>
                <c:pt idx="8">
                  <c:v>0</c:v>
                </c:pt>
                <c:pt idx="9">
                  <c:v>173.3</c:v>
                </c:pt>
                <c:pt idx="10">
                  <c:v>208.4</c:v>
                </c:pt>
                <c:pt idx="11">
                  <c:v>321.8</c:v>
                </c:pt>
                <c:pt idx="12">
                  <c:v>260.3</c:v>
                </c:pt>
                <c:pt idx="13">
                  <c:v>233.5</c:v>
                </c:pt>
                <c:pt idx="14">
                  <c:v>81.3</c:v>
                </c:pt>
                <c:pt idx="15">
                  <c:v>0</c:v>
                </c:pt>
                <c:pt idx="16">
                  <c:v>0</c:v>
                </c:pt>
                <c:pt idx="17">
                  <c:v>0</c:v>
                </c:pt>
                <c:pt idx="18">
                  <c:v>0</c:v>
                </c:pt>
                <c:pt idx="19">
                  <c:v>79.2</c:v>
                </c:pt>
                <c:pt idx="20">
                  <c:v>167.2</c:v>
                </c:pt>
                <c:pt idx="21">
                  <c:v>209.3</c:v>
                </c:pt>
                <c:pt idx="22">
                  <c:v>210.2</c:v>
                </c:pt>
                <c:pt idx="23">
                  <c:v>0</c:v>
                </c:pt>
                <c:pt idx="24">
                  <c:v>264.2</c:v>
                </c:pt>
                <c:pt idx="25">
                  <c:v>0</c:v>
                </c:pt>
                <c:pt idx="26">
                  <c:v>87.4</c:v>
                </c:pt>
                <c:pt idx="27">
                  <c:v>0</c:v>
                </c:pt>
                <c:pt idx="28">
                  <c:v>0</c:v>
                </c:pt>
                <c:pt idx="29">
                  <c:v>0</c:v>
                </c:pt>
                <c:pt idx="30">
                  <c:v>0</c:v>
                </c:pt>
                <c:pt idx="31">
                  <c:v>36.200000000000003</c:v>
                </c:pt>
                <c:pt idx="32">
                  <c:v>58.6</c:v>
                </c:pt>
                <c:pt idx="33">
                  <c:v>0</c:v>
                </c:pt>
                <c:pt idx="34">
                  <c:v>181.1</c:v>
                </c:pt>
                <c:pt idx="35">
                  <c:v>259.8</c:v>
                </c:pt>
                <c:pt idx="36">
                  <c:v>235.4</c:v>
                </c:pt>
                <c:pt idx="37">
                  <c:v>206.5</c:v>
                </c:pt>
                <c:pt idx="38">
                  <c:v>50.8</c:v>
                </c:pt>
                <c:pt idx="39">
                  <c:v>0</c:v>
                </c:pt>
                <c:pt idx="40">
                  <c:v>0</c:v>
                </c:pt>
                <c:pt idx="41">
                  <c:v>0</c:v>
                </c:pt>
                <c:pt idx="42">
                  <c:v>0</c:v>
                </c:pt>
                <c:pt idx="43">
                  <c:v>71.7</c:v>
                </c:pt>
                <c:pt idx="44">
                  <c:v>124.7</c:v>
                </c:pt>
                <c:pt idx="45">
                  <c:v>171.3</c:v>
                </c:pt>
                <c:pt idx="46">
                  <c:v>209.8</c:v>
                </c:pt>
                <c:pt idx="47">
                  <c:v>338.4</c:v>
                </c:pt>
                <c:pt idx="48">
                  <c:v>242.9</c:v>
                </c:pt>
                <c:pt idx="49">
                  <c:v>187.1</c:v>
                </c:pt>
                <c:pt idx="50">
                  <c:v>0</c:v>
                </c:pt>
                <c:pt idx="51">
                  <c:v>0</c:v>
                </c:pt>
                <c:pt idx="52">
                  <c:v>0</c:v>
                </c:pt>
                <c:pt idx="53">
                  <c:v>0</c:v>
                </c:pt>
                <c:pt idx="54">
                  <c:v>0</c:v>
                </c:pt>
                <c:pt idx="55">
                  <c:v>37.799999999999997</c:v>
                </c:pt>
                <c:pt idx="56">
                  <c:v>73.3</c:v>
                </c:pt>
                <c:pt idx="57">
                  <c:v>234.4</c:v>
                </c:pt>
                <c:pt idx="58">
                  <c:v>344.7</c:v>
                </c:pt>
                <c:pt idx="59">
                  <c:v>223.9</c:v>
                </c:pt>
                <c:pt idx="60">
                  <c:v>298.2</c:v>
                </c:pt>
                <c:pt idx="61">
                  <c:v>218.7</c:v>
                </c:pt>
                <c:pt idx="62">
                  <c:v>0</c:v>
                </c:pt>
                <c:pt idx="63">
                  <c:v>0</c:v>
                </c:pt>
                <c:pt idx="64">
                  <c:v>0</c:v>
                </c:pt>
                <c:pt idx="65">
                  <c:v>0</c:v>
                </c:pt>
                <c:pt idx="66">
                  <c:v>0</c:v>
                </c:pt>
                <c:pt idx="67">
                  <c:v>42.1</c:v>
                </c:pt>
                <c:pt idx="68">
                  <c:v>134.1</c:v>
                </c:pt>
                <c:pt idx="69">
                  <c:v>142.80000000000001</c:v>
                </c:pt>
                <c:pt idx="70">
                  <c:v>207.1</c:v>
                </c:pt>
                <c:pt idx="71">
                  <c:v>391.3</c:v>
                </c:pt>
                <c:pt idx="72">
                  <c:v>303.2</c:v>
                </c:pt>
                <c:pt idx="73">
                  <c:v>203.5</c:v>
                </c:pt>
                <c:pt idx="74">
                  <c:v>104.8</c:v>
                </c:pt>
                <c:pt idx="75">
                  <c:v>0</c:v>
                </c:pt>
                <c:pt idx="76">
                  <c:v>0</c:v>
                </c:pt>
                <c:pt idx="77">
                  <c:v>0</c:v>
                </c:pt>
                <c:pt idx="78">
                  <c:v>0</c:v>
                </c:pt>
                <c:pt idx="79">
                  <c:v>50.4</c:v>
                </c:pt>
                <c:pt idx="80">
                  <c:v>143.1</c:v>
                </c:pt>
                <c:pt idx="81">
                  <c:v>241.2</c:v>
                </c:pt>
                <c:pt idx="82">
                  <c:v>242.7</c:v>
                </c:pt>
                <c:pt idx="83">
                  <c:v>269.60000000000002</c:v>
                </c:pt>
                <c:pt idx="84">
                  <c:v>176.2</c:v>
                </c:pt>
                <c:pt idx="85">
                  <c:v>135.4</c:v>
                </c:pt>
                <c:pt idx="86">
                  <c:v>0</c:v>
                </c:pt>
                <c:pt idx="87">
                  <c:v>0</c:v>
                </c:pt>
                <c:pt idx="88">
                  <c:v>0</c:v>
                </c:pt>
                <c:pt idx="89">
                  <c:v>0</c:v>
                </c:pt>
                <c:pt idx="90">
                  <c:v>0</c:v>
                </c:pt>
                <c:pt idx="91">
                  <c:v>43.6</c:v>
                </c:pt>
                <c:pt idx="92">
                  <c:v>98.8</c:v>
                </c:pt>
                <c:pt idx="93">
                  <c:v>204.8</c:v>
                </c:pt>
                <c:pt idx="94">
                  <c:v>299.60000000000002</c:v>
                </c:pt>
                <c:pt idx="95">
                  <c:v>310.60000000000002</c:v>
                </c:pt>
                <c:pt idx="96">
                  <c:v>287.2</c:v>
                </c:pt>
                <c:pt idx="97">
                  <c:v>136.4</c:v>
                </c:pt>
                <c:pt idx="98">
                  <c:v>37.9</c:v>
                </c:pt>
                <c:pt idx="99">
                  <c:v>0</c:v>
                </c:pt>
                <c:pt idx="100">
                  <c:v>0</c:v>
                </c:pt>
                <c:pt idx="101">
                  <c:v>0</c:v>
                </c:pt>
                <c:pt idx="102">
                  <c:v>0</c:v>
                </c:pt>
                <c:pt idx="103">
                  <c:v>51.6</c:v>
                </c:pt>
                <c:pt idx="104">
                  <c:v>83.8</c:v>
                </c:pt>
                <c:pt idx="105">
                  <c:v>175.4</c:v>
                </c:pt>
                <c:pt idx="106">
                  <c:v>214.4</c:v>
                </c:pt>
                <c:pt idx="107">
                  <c:v>246.8</c:v>
                </c:pt>
                <c:pt idx="108">
                  <c:v>278.3</c:v>
                </c:pt>
                <c:pt idx="109">
                  <c:v>229.4</c:v>
                </c:pt>
                <c:pt idx="110">
                  <c:v>52.9</c:v>
                </c:pt>
                <c:pt idx="111">
                  <c:v>0</c:v>
                </c:pt>
                <c:pt idx="112">
                  <c:v>0</c:v>
                </c:pt>
                <c:pt idx="113">
                  <c:v>0</c:v>
                </c:pt>
                <c:pt idx="114">
                  <c:v>0</c:v>
                </c:pt>
                <c:pt idx="115">
                  <c:v>96.9</c:v>
                </c:pt>
                <c:pt idx="116">
                  <c:v>151.1</c:v>
                </c:pt>
                <c:pt idx="117">
                  <c:v>273.5</c:v>
                </c:pt>
                <c:pt idx="118">
                  <c:v>333.4</c:v>
                </c:pt>
                <c:pt idx="119">
                  <c:v>341.4</c:v>
                </c:pt>
                <c:pt idx="120">
                  <c:v>270.60000000000002</c:v>
                </c:pt>
                <c:pt idx="121">
                  <c:v>197.8</c:v>
                </c:pt>
                <c:pt idx="122">
                  <c:v>87.2</c:v>
                </c:pt>
                <c:pt idx="123">
                  <c:v>0</c:v>
                </c:pt>
                <c:pt idx="124">
                  <c:v>0</c:v>
                </c:pt>
                <c:pt idx="125">
                  <c:v>0</c:v>
                </c:pt>
                <c:pt idx="126">
                  <c:v>0</c:v>
                </c:pt>
                <c:pt idx="127">
                  <c:v>47.9</c:v>
                </c:pt>
                <c:pt idx="128">
                  <c:v>157.4</c:v>
                </c:pt>
                <c:pt idx="129">
                  <c:v>156.4</c:v>
                </c:pt>
                <c:pt idx="130">
                  <c:v>393.3</c:v>
                </c:pt>
                <c:pt idx="131">
                  <c:v>281.8</c:v>
                </c:pt>
                <c:pt idx="132">
                  <c:v>0</c:v>
                </c:pt>
                <c:pt idx="133">
                  <c:v>145.19999999999999</c:v>
                </c:pt>
                <c:pt idx="134">
                  <c:v>71.5</c:v>
                </c:pt>
                <c:pt idx="135">
                  <c:v>0</c:v>
                </c:pt>
                <c:pt idx="136">
                  <c:v>0</c:v>
                </c:pt>
                <c:pt idx="137">
                  <c:v>0</c:v>
                </c:pt>
                <c:pt idx="138">
                  <c:v>0</c:v>
                </c:pt>
                <c:pt idx="139">
                  <c:v>24.3</c:v>
                </c:pt>
                <c:pt idx="140">
                  <c:v>0</c:v>
                </c:pt>
                <c:pt idx="141">
                  <c:v>189.5</c:v>
                </c:pt>
                <c:pt idx="142">
                  <c:v>237.8</c:v>
                </c:pt>
                <c:pt idx="143">
                  <c:v>322.10000000000002</c:v>
                </c:pt>
              </c:numCache>
            </c:numRef>
          </c:yVal>
          <c:smooth val="0"/>
          <c:extLst>
            <c:ext xmlns:c16="http://schemas.microsoft.com/office/drawing/2014/chart" uri="{C3380CC4-5D6E-409C-BE32-E72D297353CC}">
              <c16:uniqueId val="{00000003-F380-4E9C-895D-3E473C165A30}"/>
            </c:ext>
          </c:extLst>
        </c:ser>
        <c:dLbls>
          <c:showLegendKey val="0"/>
          <c:showVal val="0"/>
          <c:showCatName val="0"/>
          <c:showSerName val="0"/>
          <c:showPercent val="0"/>
          <c:showBubbleSize val="0"/>
        </c:dLbls>
        <c:axId val="1815089456"/>
        <c:axId val="1815094864"/>
      </c:scatterChart>
      <c:valAx>
        <c:axId val="18150894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Consommation électrique (GWh)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5094864"/>
        <c:crosses val="autoZero"/>
        <c:crossBetween val="midCat"/>
      </c:valAx>
      <c:valAx>
        <c:axId val="1815094864"/>
        <c:scaling>
          <c:orientation val="minMax"/>
          <c:max val="4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Rigueur climatique (DJU)</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50894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pivotSource>
    <c:name>[PersonneB_Consommation(fichier 4.2).xlsx]Synthese-Electricite!Tableau croisé dynamique16</c:name>
    <c:fmtId val="-1"/>
  </c:pivotSource>
  <c:chart>
    <c:title>
      <c:tx>
        <c:rich>
          <a:bodyPr/>
          <a:lstStyle/>
          <a:p>
            <a:pPr>
              <a:defRPr/>
            </a:pPr>
            <a:r>
              <a:rPr lang="fr-FR"/>
              <a:t>Consommation</a:t>
            </a:r>
            <a:r>
              <a:rPr lang="fr-FR" baseline="0"/>
              <a:t> moyenne par mois</a:t>
            </a:r>
          </a:p>
        </c:rich>
      </c:tx>
      <c:overlay val="0"/>
    </c:title>
    <c:autoTitleDeleted val="0"/>
    <c:pivotFmts>
      <c:pivotFmt>
        <c:idx val="0"/>
        <c:spPr>
          <a:solidFill>
            <a:schemeClr val="accent1"/>
          </a:solidFill>
          <a:ln w="28575" cap="rnd">
            <a:solidFill>
              <a:schemeClr val="accent1"/>
            </a:solidFill>
            <a:round/>
          </a:ln>
          <a:effectLst/>
        </c:spPr>
        <c:marker>
          <c:symbol val="none"/>
        </c:marker>
        <c:dLbl>
          <c:idx val="0"/>
          <c:delete val="1"/>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delete val="1"/>
          <c:extLst>
            <c:ext xmlns:c15="http://schemas.microsoft.com/office/drawing/2012/chart" uri="{CE6537A1-D6FC-4f65-9D91-7224C49458BB}"/>
          </c:extLst>
        </c:dLbl>
      </c:pivotFmt>
      <c:pivotFmt>
        <c:idx val="2"/>
        <c:spPr>
          <a:ln w="28575" cap="rnd">
            <a:solidFill>
              <a:schemeClr val="accent1"/>
            </a:solidFill>
            <a:round/>
          </a:ln>
          <a:effectLst/>
        </c:spPr>
        <c:marker>
          <c:symbol val="none"/>
        </c:marker>
        <c:dLbl>
          <c:idx val="0"/>
          <c:delete val="1"/>
          <c:extLst>
            <c:ext xmlns:c15="http://schemas.microsoft.com/office/drawing/2012/chart" uri="{CE6537A1-D6FC-4f65-9D91-7224C49458BB}"/>
          </c:extLst>
        </c:dLbl>
      </c:pivotFmt>
      <c:pivotFmt>
        <c:idx val="3"/>
        <c:spPr>
          <a:ln w="28575" cap="rnd">
            <a:solidFill>
              <a:schemeClr val="accent1"/>
            </a:solidFill>
            <a:round/>
          </a:ln>
          <a:effectLst/>
        </c:spPr>
        <c:marker>
          <c:symbol val="none"/>
        </c:marker>
        <c:dLbl>
          <c:idx val="0"/>
          <c:delete val="1"/>
          <c:extLst>
            <c:ext xmlns:c15="http://schemas.microsoft.com/office/drawing/2012/chart" uri="{CE6537A1-D6FC-4f65-9D91-7224C49458BB}"/>
          </c:extLst>
        </c:dLbl>
      </c:pivotFmt>
      <c:pivotFmt>
        <c:idx val="4"/>
        <c:spPr>
          <a:ln w="34925">
            <a:solidFill>
              <a:schemeClr val="accent1"/>
            </a:solidFill>
          </a:ln>
        </c:spPr>
        <c:marker>
          <c:symbol val="circle"/>
          <c:size val="5"/>
        </c:marker>
        <c:dLbl>
          <c:idx val="0"/>
          <c:delete val="1"/>
          <c:extLst>
            <c:ext xmlns:c15="http://schemas.microsoft.com/office/drawing/2012/chart" uri="{CE6537A1-D6FC-4f65-9D91-7224C49458BB}"/>
          </c:extLst>
        </c:dLbl>
      </c:pivotFmt>
      <c:pivotFmt>
        <c:idx val="5"/>
        <c:marker>
          <c:symbol val="none"/>
        </c:marker>
        <c:dLbl>
          <c:idx val="0"/>
          <c:delete val="1"/>
          <c:extLst>
            <c:ext xmlns:c15="http://schemas.microsoft.com/office/drawing/2012/chart" uri="{CE6537A1-D6FC-4f65-9D91-7224C49458BB}"/>
          </c:extLst>
        </c:dLbl>
      </c:pivotFmt>
      <c:pivotFmt>
        <c:idx val="6"/>
        <c:spPr>
          <a:ln w="34925">
            <a:solidFill>
              <a:schemeClr val="accent1"/>
            </a:solidFill>
          </a:ln>
        </c:spPr>
        <c:marker>
          <c:symbol val="circle"/>
          <c:size val="5"/>
        </c:marker>
        <c:dLbl>
          <c:idx val="0"/>
          <c:delete val="1"/>
          <c:extLst>
            <c:ext xmlns:c15="http://schemas.microsoft.com/office/drawing/2012/chart" uri="{CE6537A1-D6FC-4f65-9D91-7224C49458BB}"/>
          </c:extLst>
        </c:dLbl>
      </c:pivotFmt>
      <c:pivotFmt>
        <c:idx val="7"/>
        <c:spPr>
          <a:ln w="34925">
            <a:solidFill>
              <a:schemeClr val="accent1"/>
            </a:solidFill>
          </a:ln>
        </c:spPr>
        <c:marker>
          <c:symbol val="circle"/>
          <c:size val="5"/>
        </c:marker>
        <c:dLbl>
          <c:idx val="0"/>
          <c:delete val="1"/>
          <c:extLst>
            <c:ext xmlns:c15="http://schemas.microsoft.com/office/drawing/2012/chart" uri="{CE6537A1-D6FC-4f65-9D91-7224C49458BB}"/>
          </c:extLst>
        </c:dLbl>
      </c:pivotFmt>
    </c:pivotFmts>
    <c:plotArea>
      <c:layout>
        <c:manualLayout>
          <c:layoutTarget val="inner"/>
          <c:xMode val="edge"/>
          <c:yMode val="edge"/>
          <c:x val="0.11361047668791494"/>
          <c:y val="0.23281496245107131"/>
          <c:w val="0.865355564987629"/>
          <c:h val="0.4007109104805302"/>
        </c:manualLayout>
      </c:layout>
      <c:lineChart>
        <c:grouping val="standard"/>
        <c:varyColors val="0"/>
        <c:ser>
          <c:idx val="0"/>
          <c:order val="0"/>
          <c:tx>
            <c:strRef>
              <c:f>'Synthese-Electricite'!$P$29</c:f>
              <c:strCache>
                <c:ptCount val="1"/>
                <c:pt idx="0">
                  <c:v>Total</c:v>
                </c:pt>
              </c:strCache>
            </c:strRef>
          </c:tx>
          <c:spPr>
            <a:ln w="34925">
              <a:solidFill>
                <a:schemeClr val="accent1"/>
              </a:solidFill>
            </a:ln>
          </c:spPr>
          <c:marker>
            <c:symbol val="circle"/>
            <c:size val="5"/>
          </c:marker>
          <c:cat>
            <c:strRef>
              <c:f>'Synthese-Electricite'!$O$30:$O$42</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'Synthese-Electricite'!$P$30:$P$42</c:f>
              <c:numCache>
                <c:formatCode>General</c:formatCode>
                <c:ptCount val="12"/>
                <c:pt idx="0">
                  <c:v>135177.57491666666</c:v>
                </c:pt>
                <c:pt idx="1">
                  <c:v>118028.17541666668</c:v>
                </c:pt>
                <c:pt idx="2">
                  <c:v>115696.62358333333</c:v>
                </c:pt>
                <c:pt idx="3">
                  <c:v>100687.92283333336</c:v>
                </c:pt>
                <c:pt idx="4">
                  <c:v>96395.032499999987</c:v>
                </c:pt>
                <c:pt idx="5">
                  <c:v>91147.257333333328</c:v>
                </c:pt>
                <c:pt idx="6">
                  <c:v>94815.571916666653</c:v>
                </c:pt>
                <c:pt idx="7">
                  <c:v>90736.182166666651</c:v>
                </c:pt>
                <c:pt idx="8">
                  <c:v>91593.672833333316</c:v>
                </c:pt>
                <c:pt idx="9">
                  <c:v>99910.299666666659</c:v>
                </c:pt>
                <c:pt idx="10">
                  <c:v>107794.16450000001</c:v>
                </c:pt>
                <c:pt idx="11">
                  <c:v>124296.65891666665</c:v>
                </c:pt>
              </c:numCache>
            </c:numRef>
          </c:val>
          <c:smooth val="0"/>
          <c:extLst>
            <c:ext xmlns:c16="http://schemas.microsoft.com/office/drawing/2014/chart" uri="{C3380CC4-5D6E-409C-BE32-E72D297353CC}">
              <c16:uniqueId val="{00000000-E070-47C2-832D-3DB5D3CBB294}"/>
            </c:ext>
          </c:extLst>
        </c:ser>
        <c:dLbls>
          <c:showLegendKey val="0"/>
          <c:showVal val="0"/>
          <c:showCatName val="0"/>
          <c:showSerName val="0"/>
          <c:showPercent val="0"/>
          <c:showBubbleSize val="0"/>
        </c:dLbls>
        <c:marker val="1"/>
        <c:smooth val="0"/>
        <c:axId val="1587077920"/>
        <c:axId val="1587070432"/>
      </c:lineChart>
      <c:catAx>
        <c:axId val="1587077920"/>
        <c:scaling>
          <c:orientation val="minMax"/>
        </c:scaling>
        <c:delete val="0"/>
        <c:axPos val="b"/>
        <c:title>
          <c:tx>
            <c:rich>
              <a:bodyPr/>
              <a:lstStyle/>
              <a:p>
                <a:pPr>
                  <a:defRPr/>
                </a:pPr>
                <a:r>
                  <a:rPr lang="fr-FR"/>
                  <a:t>Mois</a:t>
                </a:r>
              </a:p>
            </c:rich>
          </c:tx>
          <c:overlay val="0"/>
        </c:title>
        <c:numFmt formatCode="General" sourceLinked="1"/>
        <c:majorTickMark val="out"/>
        <c:minorTickMark val="none"/>
        <c:tickLblPos val="nextTo"/>
        <c:crossAx val="1587070432"/>
        <c:crosses val="autoZero"/>
        <c:auto val="1"/>
        <c:lblAlgn val="ctr"/>
        <c:lblOffset val="100"/>
        <c:noMultiLvlLbl val="0"/>
      </c:catAx>
      <c:valAx>
        <c:axId val="1587070432"/>
        <c:scaling>
          <c:orientation val="minMax"/>
        </c:scaling>
        <c:delete val="0"/>
        <c:axPos val="l"/>
        <c:majorGridlines/>
        <c:title>
          <c:tx>
            <c:rich>
              <a:bodyPr/>
              <a:lstStyle/>
              <a:p>
                <a:pPr>
                  <a:defRPr/>
                </a:pPr>
                <a:r>
                  <a:rPr lang="fr-FR"/>
                  <a:t>Consommation (GWh)</a:t>
                </a:r>
              </a:p>
            </c:rich>
          </c:tx>
          <c:overlay val="0"/>
        </c:title>
        <c:numFmt formatCode="General" sourceLinked="1"/>
        <c:majorTickMark val="out"/>
        <c:minorTickMark val="none"/>
        <c:tickLblPos val="nextTo"/>
        <c:crossAx val="1587077920"/>
        <c:crosses val="autoZero"/>
        <c:crossBetween val="between"/>
      </c:valAx>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ln w="12700"/>
  </c:spPr>
  <c:txPr>
    <a:bodyPr/>
    <a:lstStyle/>
    <a:p>
      <a:pPr>
        <a:defRPr/>
      </a:pPr>
      <a:endParaRPr lang="fr-FR"/>
    </a:p>
  </c:txPr>
  <c:externalData r:id="rId1">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pivotSource>
    <c:name>[Mix_Energetique_Co2.xlsx]Mix énergétique moyen par année!Tableau croisé dynamique3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'Mix énergétique moyen par année'!$B$3</c:f>
              <c:strCache>
                <c:ptCount val="1"/>
                <c:pt idx="0">
                  <c:v>Conso charbon</c:v>
                </c:pt>
              </c:strCache>
            </c:strRef>
          </c:tx>
          <c:spPr>
            <a:solidFill>
              <a:schemeClr val="accent1"/>
            </a:solidFill>
            <a:ln>
              <a:noFill/>
            </a:ln>
            <a:effectLst/>
          </c:spPr>
          <c:invertIfNegative val="0"/>
          <c:cat>
            <c:strRef>
              <c:f>'Mix énergétique moyen par année'!$A$4:$A$21</c:f>
              <c:strCache>
                <c:ptCount val="17"/>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strCache>
            </c:strRef>
          </c:cat>
          <c:val>
            <c:numRef>
              <c:f>'Mix énergétique moyen par année'!$B$4:$B$21</c:f>
              <c:numCache>
                <c:formatCode>General</c:formatCode>
                <c:ptCount val="17"/>
                <c:pt idx="0">
                  <c:v>12218.928999999998</c:v>
                </c:pt>
                <c:pt idx="1">
                  <c:v>12812.668666666665</c:v>
                </c:pt>
                <c:pt idx="2">
                  <c:v>11937.465000000002</c:v>
                </c:pt>
                <c:pt idx="3">
                  <c:v>10024.17575</c:v>
                </c:pt>
                <c:pt idx="4">
                  <c:v>10572.517249999999</c:v>
                </c:pt>
                <c:pt idx="5">
                  <c:v>8865.206416666666</c:v>
                </c:pt>
                <c:pt idx="6">
                  <c:v>9887.2260000000006</c:v>
                </c:pt>
                <c:pt idx="7">
                  <c:v>10493.818333333335</c:v>
                </c:pt>
                <c:pt idx="8">
                  <c:v>8098.090416666666</c:v>
                </c:pt>
                <c:pt idx="9">
                  <c:v>8378.4714166666672</c:v>
                </c:pt>
                <c:pt idx="10">
                  <c:v>7998.6869166666656</c:v>
                </c:pt>
                <c:pt idx="11">
                  <c:v>8720.2171666666691</c:v>
                </c:pt>
                <c:pt idx="12">
                  <c:v>8038.9015833333333</c:v>
                </c:pt>
                <c:pt idx="13">
                  <c:v>6387.4827500000001</c:v>
                </c:pt>
                <c:pt idx="14">
                  <c:v>5290.6178181818177</c:v>
                </c:pt>
                <c:pt idx="15">
                  <c:v>6629.4677499999998</c:v>
                </c:pt>
                <c:pt idx="16">
                  <c:v>5622.2667499999998</c:v>
                </c:pt>
              </c:numCache>
            </c:numRef>
          </c:val>
          <c:extLst>
            <c:ext xmlns:c16="http://schemas.microsoft.com/office/drawing/2014/chart" uri="{C3380CC4-5D6E-409C-BE32-E72D297353CC}">
              <c16:uniqueId val="{00000000-4E6A-4258-9222-C073F98FCBF8}"/>
            </c:ext>
          </c:extLst>
        </c:ser>
        <c:ser>
          <c:idx val="1"/>
          <c:order val="1"/>
          <c:tx>
            <c:strRef>
              <c:f>'Mix énergétique moyen par année'!$C$3</c:f>
              <c:strCache>
                <c:ptCount val="1"/>
                <c:pt idx="0">
                  <c:v>Conso pétrole</c:v>
                </c:pt>
              </c:strCache>
            </c:strRef>
          </c:tx>
          <c:spPr>
            <a:solidFill>
              <a:schemeClr val="accent2"/>
            </a:solidFill>
            <a:ln>
              <a:noFill/>
            </a:ln>
            <a:effectLst/>
          </c:spPr>
          <c:invertIfNegative val="0"/>
          <c:cat>
            <c:strRef>
              <c:f>'Mix énergétique moyen par année'!$A$4:$A$21</c:f>
              <c:strCache>
                <c:ptCount val="17"/>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strCache>
            </c:strRef>
          </c:cat>
          <c:val>
            <c:numRef>
              <c:f>'Mix énergétique moyen par année'!$C$4:$C$21</c:f>
              <c:numCache>
                <c:formatCode>General</c:formatCode>
                <c:ptCount val="17"/>
                <c:pt idx="0">
                  <c:v>83301.722333333339</c:v>
                </c:pt>
                <c:pt idx="1">
                  <c:v>81814.336333333325</c:v>
                </c:pt>
                <c:pt idx="2">
                  <c:v>81208.607166666654</c:v>
                </c:pt>
                <c:pt idx="3">
                  <c:v>77834.986499999999</c:v>
                </c:pt>
                <c:pt idx="4">
                  <c:v>76709.250916666657</c:v>
                </c:pt>
                <c:pt idx="5">
                  <c:v>75255.403999999995</c:v>
                </c:pt>
                <c:pt idx="6">
                  <c:v>74113.919499999989</c:v>
                </c:pt>
                <c:pt idx="7">
                  <c:v>73384.39675</c:v>
                </c:pt>
                <c:pt idx="8">
                  <c:v>71308.001833333328</c:v>
                </c:pt>
                <c:pt idx="9">
                  <c:v>72351.266166666654</c:v>
                </c:pt>
                <c:pt idx="10">
                  <c:v>72210.386166666663</c:v>
                </c:pt>
                <c:pt idx="11">
                  <c:v>72663.979166666686</c:v>
                </c:pt>
                <c:pt idx="12">
                  <c:v>73350.996333333344</c:v>
                </c:pt>
                <c:pt idx="13">
                  <c:v>73161.556916666668</c:v>
                </c:pt>
                <c:pt idx="14">
                  <c:v>61693.213416666666</c:v>
                </c:pt>
                <c:pt idx="15">
                  <c:v>67425.234416666673</c:v>
                </c:pt>
                <c:pt idx="16">
                  <c:v>66336.680416666655</c:v>
                </c:pt>
              </c:numCache>
            </c:numRef>
          </c:val>
          <c:extLst>
            <c:ext xmlns:c16="http://schemas.microsoft.com/office/drawing/2014/chart" uri="{C3380CC4-5D6E-409C-BE32-E72D297353CC}">
              <c16:uniqueId val="{00000001-4E6A-4258-9222-C073F98FCBF8}"/>
            </c:ext>
          </c:extLst>
        </c:ser>
        <c:ser>
          <c:idx val="2"/>
          <c:order val="2"/>
          <c:tx>
            <c:strRef>
              <c:f>'Mix énergétique moyen par année'!$D$3</c:f>
              <c:strCache>
                <c:ptCount val="1"/>
                <c:pt idx="0">
                  <c:v>Conso gaz</c:v>
                </c:pt>
              </c:strCache>
            </c:strRef>
          </c:tx>
          <c:spPr>
            <a:solidFill>
              <a:schemeClr val="accent3"/>
            </a:solidFill>
            <a:ln>
              <a:noFill/>
            </a:ln>
            <a:effectLst/>
          </c:spPr>
          <c:invertIfNegative val="0"/>
          <c:cat>
            <c:strRef>
              <c:f>'Mix énergétique moyen par année'!$A$4:$A$21</c:f>
              <c:strCache>
                <c:ptCount val="17"/>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strCache>
            </c:strRef>
          </c:cat>
          <c:val>
            <c:numRef>
              <c:f>'Mix énergétique moyen par année'!$D$4:$D$21</c:f>
              <c:numCache>
                <c:formatCode>General</c:formatCode>
                <c:ptCount val="17"/>
                <c:pt idx="0">
                  <c:v>37889.774416666674</c:v>
                </c:pt>
                <c:pt idx="1">
                  <c:v>36812.326583333335</c:v>
                </c:pt>
                <c:pt idx="2">
                  <c:v>38010.593666666675</c:v>
                </c:pt>
                <c:pt idx="3">
                  <c:v>36251.513500000001</c:v>
                </c:pt>
                <c:pt idx="4">
                  <c:v>40665.557000000008</c:v>
                </c:pt>
                <c:pt idx="5">
                  <c:v>35128.693166666664</c:v>
                </c:pt>
                <c:pt idx="6">
                  <c:v>36647.776666666665</c:v>
                </c:pt>
                <c:pt idx="7">
                  <c:v>37168.664916666668</c:v>
                </c:pt>
                <c:pt idx="8">
                  <c:v>31109.791083333334</c:v>
                </c:pt>
                <c:pt idx="9">
                  <c:v>33538.27416666667</c:v>
                </c:pt>
                <c:pt idx="10">
                  <c:v>36660.038083333333</c:v>
                </c:pt>
                <c:pt idx="11">
                  <c:v>36808.644333333337</c:v>
                </c:pt>
                <c:pt idx="12">
                  <c:v>35096.324416666663</c:v>
                </c:pt>
                <c:pt idx="13">
                  <c:v>35735.377</c:v>
                </c:pt>
                <c:pt idx="14">
                  <c:v>33168.847083333334</c:v>
                </c:pt>
                <c:pt idx="15">
                  <c:v>35206.837500000001</c:v>
                </c:pt>
                <c:pt idx="16">
                  <c:v>31775.548999999999</c:v>
                </c:pt>
              </c:numCache>
            </c:numRef>
          </c:val>
          <c:extLst>
            <c:ext xmlns:c16="http://schemas.microsoft.com/office/drawing/2014/chart" uri="{C3380CC4-5D6E-409C-BE32-E72D297353CC}">
              <c16:uniqueId val="{00000002-4E6A-4258-9222-C073F98FCBF8}"/>
            </c:ext>
          </c:extLst>
        </c:ser>
        <c:ser>
          <c:idx val="3"/>
          <c:order val="3"/>
          <c:tx>
            <c:strRef>
              <c:f>'Mix énergétique moyen par année'!$E$3</c:f>
              <c:strCache>
                <c:ptCount val="1"/>
                <c:pt idx="0">
                  <c:v>Conso nucléaire + ENR</c:v>
                </c:pt>
              </c:strCache>
            </c:strRef>
          </c:tx>
          <c:spPr>
            <a:solidFill>
              <a:schemeClr val="accent4"/>
            </a:solidFill>
            <a:ln>
              <a:noFill/>
            </a:ln>
            <a:effectLst/>
          </c:spPr>
          <c:invertIfNegative val="0"/>
          <c:cat>
            <c:strRef>
              <c:f>'Mix énergétique moyen par année'!$A$4:$A$21</c:f>
              <c:strCache>
                <c:ptCount val="17"/>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strCache>
            </c:strRef>
          </c:cat>
          <c:val>
            <c:numRef>
              <c:f>'Mix énergétique moyen par année'!$E$4:$E$21</c:f>
              <c:numCache>
                <c:formatCode>General</c:formatCode>
                <c:ptCount val="17"/>
                <c:pt idx="0">
                  <c:v>113783.61333333333</c:v>
                </c:pt>
                <c:pt idx="1">
                  <c:v>112049.58333333333</c:v>
                </c:pt>
                <c:pt idx="2">
                  <c:v>113245.27491666668</c:v>
                </c:pt>
                <c:pt idx="3">
                  <c:v>107286.75275</c:v>
                </c:pt>
                <c:pt idx="4">
                  <c:v>112115.58858333336</c:v>
                </c:pt>
                <c:pt idx="5">
                  <c:v>112282.79758333333</c:v>
                </c:pt>
                <c:pt idx="6">
                  <c:v>110543.02275</c:v>
                </c:pt>
                <c:pt idx="7">
                  <c:v>110861.22183333333</c:v>
                </c:pt>
                <c:pt idx="8">
                  <c:v>111952.06508333333</c:v>
                </c:pt>
                <c:pt idx="9">
                  <c:v>112307.48616666667</c:v>
                </c:pt>
                <c:pt idx="10">
                  <c:v>106009.38683333334</c:v>
                </c:pt>
                <c:pt idx="11">
                  <c:v>104333.06500000002</c:v>
                </c:pt>
                <c:pt idx="12">
                  <c:v>108104.1675</c:v>
                </c:pt>
                <c:pt idx="13">
                  <c:v>104945.53266666667</c:v>
                </c:pt>
                <c:pt idx="14">
                  <c:v>95592.662583333324</c:v>
                </c:pt>
                <c:pt idx="15">
                  <c:v>101715.93675000001</c:v>
                </c:pt>
                <c:pt idx="16">
                  <c:v>84673.646416666656</c:v>
                </c:pt>
              </c:numCache>
            </c:numRef>
          </c:val>
          <c:extLst>
            <c:ext xmlns:c16="http://schemas.microsoft.com/office/drawing/2014/chart" uri="{C3380CC4-5D6E-409C-BE32-E72D297353CC}">
              <c16:uniqueId val="{00000003-4E6A-4258-9222-C073F98FCBF8}"/>
            </c:ext>
          </c:extLst>
        </c:ser>
        <c:dLbls>
          <c:showLegendKey val="0"/>
          <c:showVal val="0"/>
          <c:showCatName val="0"/>
          <c:showSerName val="0"/>
          <c:showPercent val="0"/>
          <c:showBubbleSize val="0"/>
        </c:dLbls>
        <c:gapWidth val="150"/>
        <c:overlap val="100"/>
        <c:axId val="466839168"/>
        <c:axId val="466832896"/>
      </c:barChart>
      <c:catAx>
        <c:axId val="466839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66832896"/>
        <c:crosses val="autoZero"/>
        <c:auto val="1"/>
        <c:lblAlgn val="ctr"/>
        <c:lblOffset val="100"/>
        <c:noMultiLvlLbl val="0"/>
      </c:catAx>
      <c:valAx>
        <c:axId val="4668328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668391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fr-FR"/>
              <a:t>Mix de consommation énergétique moyen en France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fr-FR"/>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871-4178-B43C-D7D0F9894282}"/>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871-4178-B43C-D7D0F9894282}"/>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871-4178-B43C-D7D0F9894282}"/>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871-4178-B43C-D7D0F9894282}"/>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4871-4178-B43C-D7D0F989428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'Mix énergétique moyen par année'!$A$23:$E$23</c:f>
              <c:strCache>
                <c:ptCount val="5"/>
                <c:pt idx="0">
                  <c:v>Moyennes totales</c:v>
                </c:pt>
                <c:pt idx="1">
                  <c:v> Charbon</c:v>
                </c:pt>
                <c:pt idx="2">
                  <c:v>Pétrole</c:v>
                </c:pt>
                <c:pt idx="3">
                  <c:v>Gaz</c:v>
                </c:pt>
                <c:pt idx="4">
                  <c:v>Nucléaire + ENR</c:v>
                </c:pt>
              </c:strCache>
            </c:strRef>
          </c:cat>
          <c:val>
            <c:numRef>
              <c:f>'Mix énergétique moyen par année'!$A$24:$E$24</c:f>
              <c:numCache>
                <c:formatCode>General</c:formatCode>
                <c:ptCount val="5"/>
                <c:pt idx="1">
                  <c:v>8957.7531527093543</c:v>
                </c:pt>
                <c:pt idx="2">
                  <c:v>73771.996372549009</c:v>
                </c:pt>
                <c:pt idx="3">
                  <c:v>35745.56368137255</c:v>
                </c:pt>
                <c:pt idx="4">
                  <c:v>107164.81200490192</c:v>
                </c:pt>
              </c:numCache>
            </c:numRef>
          </c:val>
          <c:extLst>
            <c:ext xmlns:c16="http://schemas.microsoft.com/office/drawing/2014/chart" uri="{C3380CC4-5D6E-409C-BE32-E72D297353CC}">
              <c16:uniqueId val="{0000000A-4871-4178-B43C-D7D0F989428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egendEntry>
        <c:idx val="0"/>
        <c:delete val="1"/>
      </c:legendEntry>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pivotSource>
    <c:name>[Mix_Energetique_Co2.xlsx]Import Exports par année!Tableau croisé dynamique7</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'Import Exports par année'!$B$3</c:f>
              <c:strCache>
                <c:ptCount val="1"/>
                <c:pt idx="0">
                  <c:v>Imports total (en GWh)</c:v>
                </c:pt>
              </c:strCache>
            </c:strRef>
          </c:tx>
          <c:spPr>
            <a:solidFill>
              <a:schemeClr val="accent1"/>
            </a:solidFill>
            <a:ln>
              <a:noFill/>
            </a:ln>
            <a:effectLst/>
          </c:spPr>
          <c:invertIfNegative val="0"/>
          <c:cat>
            <c:strRef>
              <c:f>'Import Exports par année'!$A$4:$A$21</c:f>
              <c:strCache>
                <c:ptCount val="17"/>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strCache>
            </c:strRef>
          </c:cat>
          <c:val>
            <c:numRef>
              <c:f>'Import Exports par année'!$B$4:$B$21</c:f>
              <c:numCache>
                <c:formatCode>General</c:formatCode>
                <c:ptCount val="17"/>
                <c:pt idx="0">
                  <c:v>2006985.486</c:v>
                </c:pt>
                <c:pt idx="1">
                  <c:v>1940772.9349999996</c:v>
                </c:pt>
                <c:pt idx="2">
                  <c:v>2010048.8849999995</c:v>
                </c:pt>
                <c:pt idx="3">
                  <c:v>1870809.8219999999</c:v>
                </c:pt>
                <c:pt idx="4">
                  <c:v>1837908.7540000002</c:v>
                </c:pt>
                <c:pt idx="5">
                  <c:v>1796817.6290000002</c:v>
                </c:pt>
                <c:pt idx="6">
                  <c:v>1744378.4219999998</c:v>
                </c:pt>
                <c:pt idx="7">
                  <c:v>1731394.8180000002</c:v>
                </c:pt>
                <c:pt idx="8">
                  <c:v>1633823.8979999998</c:v>
                </c:pt>
                <c:pt idx="9">
                  <c:v>1673220.5370000002</c:v>
                </c:pt>
                <c:pt idx="10">
                  <c:v>1674874.7590000001</c:v>
                </c:pt>
                <c:pt idx="11">
                  <c:v>1702017.3080000004</c:v>
                </c:pt>
                <c:pt idx="12">
                  <c:v>1528087.3640000001</c:v>
                </c:pt>
                <c:pt idx="13">
                  <c:v>1628608.9670000002</c:v>
                </c:pt>
                <c:pt idx="14">
                  <c:v>1339609.726</c:v>
                </c:pt>
                <c:pt idx="15">
                  <c:v>1416681.612</c:v>
                </c:pt>
                <c:pt idx="16">
                  <c:v>1481204.3180000002</c:v>
                </c:pt>
              </c:numCache>
            </c:numRef>
          </c:val>
          <c:extLst>
            <c:ext xmlns:c16="http://schemas.microsoft.com/office/drawing/2014/chart" uri="{C3380CC4-5D6E-409C-BE32-E72D297353CC}">
              <c16:uniqueId val="{00000000-FFE9-4754-BF17-2ABF1C14D292}"/>
            </c:ext>
          </c:extLst>
        </c:ser>
        <c:ser>
          <c:idx val="1"/>
          <c:order val="1"/>
          <c:tx>
            <c:strRef>
              <c:f>'Import Exports par année'!$C$3</c:f>
              <c:strCache>
                <c:ptCount val="1"/>
                <c:pt idx="0">
                  <c:v>Exports total (en GWh)</c:v>
                </c:pt>
              </c:strCache>
            </c:strRef>
          </c:tx>
          <c:spPr>
            <a:solidFill>
              <a:schemeClr val="accent2"/>
            </a:solidFill>
            <a:ln>
              <a:noFill/>
            </a:ln>
            <a:effectLst/>
          </c:spPr>
          <c:invertIfNegative val="0"/>
          <c:cat>
            <c:strRef>
              <c:f>'Import Exports par année'!$A$4:$A$21</c:f>
              <c:strCache>
                <c:ptCount val="17"/>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strCache>
            </c:strRef>
          </c:cat>
          <c:val>
            <c:numRef>
              <c:f>'Import Exports par année'!$C$4:$C$21</c:f>
              <c:numCache>
                <c:formatCode>General</c:formatCode>
                <c:ptCount val="17"/>
                <c:pt idx="0">
                  <c:v>383231.01400000002</c:v>
                </c:pt>
                <c:pt idx="1">
                  <c:v>366504.07299999997</c:v>
                </c:pt>
                <c:pt idx="2">
                  <c:v>401100.90899999999</c:v>
                </c:pt>
                <c:pt idx="3">
                  <c:v>317527.57500000001</c:v>
                </c:pt>
                <c:pt idx="4">
                  <c:v>318941.42800000001</c:v>
                </c:pt>
                <c:pt idx="5">
                  <c:v>342700.66600000003</c:v>
                </c:pt>
                <c:pt idx="6">
                  <c:v>303051.24599999998</c:v>
                </c:pt>
                <c:pt idx="7">
                  <c:v>286366.62199999997</c:v>
                </c:pt>
                <c:pt idx="8">
                  <c:v>326947.64199999993</c:v>
                </c:pt>
                <c:pt idx="9">
                  <c:v>341633.50099999999</c:v>
                </c:pt>
                <c:pt idx="10">
                  <c:v>311756.35399999993</c:v>
                </c:pt>
                <c:pt idx="11">
                  <c:v>333024.78899999999</c:v>
                </c:pt>
                <c:pt idx="12">
                  <c:v>310000.55099999998</c:v>
                </c:pt>
                <c:pt idx="13">
                  <c:v>337065.88700000005</c:v>
                </c:pt>
                <c:pt idx="14">
                  <c:v>268338.55900000001</c:v>
                </c:pt>
                <c:pt idx="15">
                  <c:v>242906.06099999996</c:v>
                </c:pt>
                <c:pt idx="16">
                  <c:v>264714.14199999999</c:v>
                </c:pt>
              </c:numCache>
            </c:numRef>
          </c:val>
          <c:extLst>
            <c:ext xmlns:c16="http://schemas.microsoft.com/office/drawing/2014/chart" uri="{C3380CC4-5D6E-409C-BE32-E72D297353CC}">
              <c16:uniqueId val="{00000001-FFE9-4754-BF17-2ABF1C14D292}"/>
            </c:ext>
          </c:extLst>
        </c:ser>
        <c:dLbls>
          <c:showLegendKey val="0"/>
          <c:showVal val="0"/>
          <c:showCatName val="0"/>
          <c:showSerName val="0"/>
          <c:showPercent val="0"/>
          <c:showBubbleSize val="0"/>
        </c:dLbls>
        <c:gapWidth val="219"/>
        <c:overlap val="-27"/>
        <c:axId val="456038528"/>
        <c:axId val="456040320"/>
      </c:barChart>
      <c:catAx>
        <c:axId val="456038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56040320"/>
        <c:crosses val="autoZero"/>
        <c:auto val="1"/>
        <c:lblAlgn val="ctr"/>
        <c:lblOffset val="100"/>
        <c:noMultiLvlLbl val="0"/>
      </c:catAx>
      <c:valAx>
        <c:axId val="456040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560385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Lien entre consommation d'énergies</a:t>
            </a:r>
            <a:r>
              <a:rPr lang="en-US" baseline="0"/>
              <a:t> fossiles et émissions de CO2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'4 1 Synthese-toutes-energies 20'!$Q$1:$Q$2</c:f>
              <c:strCache>
                <c:ptCount val="2"/>
                <c:pt idx="0">
                  <c:v>5, Emissions CO2</c:v>
                </c:pt>
                <c:pt idx="1">
                  <c:v>ECO2</c:v>
                </c:pt>
              </c:strCache>
            </c:strRef>
          </c:tx>
          <c:spPr>
            <a:ln w="25400" cap="rnd">
              <a:noFill/>
              <a:round/>
            </a:ln>
            <a:effectLst/>
          </c:spPr>
          <c:marker>
            <c:symbol val="x"/>
            <c:size val="5"/>
            <c:spPr>
              <a:noFill/>
              <a:ln w="9525">
                <a:solidFill>
                  <a:schemeClr val="accent1"/>
                </a:solidFill>
              </a:ln>
              <a:effectLst/>
            </c:spPr>
          </c:marker>
          <c:trendline>
            <c:spPr>
              <a:ln w="19050" cap="rnd">
                <a:solidFill>
                  <a:schemeClr val="tx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trendlineLbl>
          </c:trendline>
          <c:xVal>
            <c:numRef>
              <c:f>'4 1 Synthese-toutes-energies 20'!$O$3:$O$207</c:f>
              <c:numCache>
                <c:formatCode>General</c:formatCode>
                <c:ptCount val="205"/>
                <c:pt idx="0">
                  <c:v>122933.76199999999</c:v>
                </c:pt>
                <c:pt idx="1">
                  <c:v>105869.867</c:v>
                </c:pt>
                <c:pt idx="2">
                  <c:v>92594.183000000005</c:v>
                </c:pt>
                <c:pt idx="3">
                  <c:v>96821.803</c:v>
                </c:pt>
                <c:pt idx="4">
                  <c:v>89188.683000000005</c:v>
                </c:pt>
                <c:pt idx="5">
                  <c:v>92303.511999999988</c:v>
                </c:pt>
                <c:pt idx="6">
                  <c:v>90098.809000000008</c:v>
                </c:pt>
                <c:pt idx="7">
                  <c:v>90385.084999999992</c:v>
                </c:pt>
                <c:pt idx="8">
                  <c:v>98606.561000000002</c:v>
                </c:pt>
                <c:pt idx="9">
                  <c:v>118433.545</c:v>
                </c:pt>
                <c:pt idx="10">
                  <c:v>115218.54999999999</c:v>
                </c:pt>
                <c:pt idx="11">
                  <c:v>132359.59400000001</c:v>
                </c:pt>
                <c:pt idx="12">
                  <c:v>134375.32399999999</c:v>
                </c:pt>
                <c:pt idx="13">
                  <c:v>126814.51300000001</c:v>
                </c:pt>
                <c:pt idx="14">
                  <c:v>112892.273</c:v>
                </c:pt>
                <c:pt idx="15">
                  <c:v>97576.713000000018</c:v>
                </c:pt>
                <c:pt idx="16">
                  <c:v>89823.212</c:v>
                </c:pt>
                <c:pt idx="17">
                  <c:v>95166.603000000003</c:v>
                </c:pt>
                <c:pt idx="18">
                  <c:v>91917.127000000008</c:v>
                </c:pt>
                <c:pt idx="19">
                  <c:v>92046.731</c:v>
                </c:pt>
                <c:pt idx="20">
                  <c:v>101016.114</c:v>
                </c:pt>
                <c:pt idx="21">
                  <c:v>121876.03300000001</c:v>
                </c:pt>
                <c:pt idx="22">
                  <c:v>114623.08300000001</c:v>
                </c:pt>
                <c:pt idx="23">
                  <c:v>133010.75</c:v>
                </c:pt>
                <c:pt idx="24">
                  <c:v>126254.465</c:v>
                </c:pt>
                <c:pt idx="25">
                  <c:v>103866.477</c:v>
                </c:pt>
                <c:pt idx="26">
                  <c:v>103304.05100000001</c:v>
                </c:pt>
                <c:pt idx="27">
                  <c:v>94020.22100000002</c:v>
                </c:pt>
                <c:pt idx="28">
                  <c:v>82814.13</c:v>
                </c:pt>
                <c:pt idx="29">
                  <c:v>92785.395000000004</c:v>
                </c:pt>
                <c:pt idx="30">
                  <c:v>83359.334000000003</c:v>
                </c:pt>
                <c:pt idx="31">
                  <c:v>75028.932000000001</c:v>
                </c:pt>
                <c:pt idx="32">
                  <c:v>67681.899000000005</c:v>
                </c:pt>
                <c:pt idx="33">
                  <c:v>110808.723</c:v>
                </c:pt>
                <c:pt idx="34">
                  <c:v>120003.03399999999</c:v>
                </c:pt>
                <c:pt idx="35">
                  <c:v>136614.861</c:v>
                </c:pt>
                <c:pt idx="36">
                  <c:v>129792.367</c:v>
                </c:pt>
                <c:pt idx="37">
                  <c:v>127554.45600000001</c:v>
                </c:pt>
                <c:pt idx="38">
                  <c:v>113588.96100000001</c:v>
                </c:pt>
                <c:pt idx="39">
                  <c:v>102715.87899999999</c:v>
                </c:pt>
                <c:pt idx="40">
                  <c:v>94626.786999999997</c:v>
                </c:pt>
                <c:pt idx="41">
                  <c:v>106940.52799999999</c:v>
                </c:pt>
                <c:pt idx="42">
                  <c:v>97674.931999999986</c:v>
                </c:pt>
                <c:pt idx="43">
                  <c:v>105712.75799999999</c:v>
                </c:pt>
                <c:pt idx="44">
                  <c:v>112826.74400000001</c:v>
                </c:pt>
                <c:pt idx="45">
                  <c:v>120496.967</c:v>
                </c:pt>
                <c:pt idx="46">
                  <c:v>123368.97100000002</c:v>
                </c:pt>
                <c:pt idx="47">
                  <c:v>148113.65</c:v>
                </c:pt>
                <c:pt idx="48">
                  <c:v>130319.606</c:v>
                </c:pt>
                <c:pt idx="49">
                  <c:v>128231.35399999999</c:v>
                </c:pt>
                <c:pt idx="50">
                  <c:v>120719.80800000002</c:v>
                </c:pt>
                <c:pt idx="51">
                  <c:v>99193.955000000016</c:v>
                </c:pt>
                <c:pt idx="52">
                  <c:v>98148.142000000007</c:v>
                </c:pt>
                <c:pt idx="53">
                  <c:v>103687.00100000002</c:v>
                </c:pt>
                <c:pt idx="54">
                  <c:v>99856.557000000001</c:v>
                </c:pt>
                <c:pt idx="55">
                  <c:v>100456.81</c:v>
                </c:pt>
                <c:pt idx="56">
                  <c:v>104785.81099999999</c:v>
                </c:pt>
                <c:pt idx="57">
                  <c:v>140060.63</c:v>
                </c:pt>
                <c:pt idx="58">
                  <c:v>141957.06700000001</c:v>
                </c:pt>
                <c:pt idx="59">
                  <c:v>130417.92700000001</c:v>
                </c:pt>
                <c:pt idx="60">
                  <c:v>142415.935</c:v>
                </c:pt>
                <c:pt idx="61">
                  <c:v>130993.66999999998</c:v>
                </c:pt>
                <c:pt idx="62">
                  <c:v>113227.058</c:v>
                </c:pt>
                <c:pt idx="63">
                  <c:v>109395.265</c:v>
                </c:pt>
                <c:pt idx="64">
                  <c:v>97487.455000000002</c:v>
                </c:pt>
                <c:pt idx="65">
                  <c:v>102932.117</c:v>
                </c:pt>
                <c:pt idx="66">
                  <c:v>98314.356</c:v>
                </c:pt>
                <c:pt idx="67">
                  <c:v>104120.424</c:v>
                </c:pt>
                <c:pt idx="68">
                  <c:v>108538.754</c:v>
                </c:pt>
                <c:pt idx="69">
                  <c:v>125663.05600000001</c:v>
                </c:pt>
                <c:pt idx="70">
                  <c:v>126700.856</c:v>
                </c:pt>
                <c:pt idx="71">
                  <c:v>158525.14199999999</c:v>
                </c:pt>
                <c:pt idx="72">
                  <c:v>146830.08799999999</c:v>
                </c:pt>
                <c:pt idx="73">
                  <c:v>129150.63500000001</c:v>
                </c:pt>
                <c:pt idx="74">
                  <c:v>121707.08200000001</c:v>
                </c:pt>
                <c:pt idx="75">
                  <c:v>104162.60800000001</c:v>
                </c:pt>
                <c:pt idx="76">
                  <c:v>96875.174000000014</c:v>
                </c:pt>
                <c:pt idx="77">
                  <c:v>98452.59</c:v>
                </c:pt>
                <c:pt idx="78">
                  <c:v>94193.813000000009</c:v>
                </c:pt>
                <c:pt idx="79">
                  <c:v>104172.092</c:v>
                </c:pt>
                <c:pt idx="80">
                  <c:v>112349.03899999999</c:v>
                </c:pt>
                <c:pt idx="81">
                  <c:v>134635.69</c:v>
                </c:pt>
                <c:pt idx="82">
                  <c:v>127995.55600000001</c:v>
                </c:pt>
                <c:pt idx="83">
                  <c:v>131904.967</c:v>
                </c:pt>
                <c:pt idx="84">
                  <c:v>129227.75999999998</c:v>
                </c:pt>
                <c:pt idx="85">
                  <c:v>113503.432</c:v>
                </c:pt>
                <c:pt idx="86">
                  <c:v>117963.255</c:v>
                </c:pt>
                <c:pt idx="87">
                  <c:v>104743.508</c:v>
                </c:pt>
                <c:pt idx="88">
                  <c:v>94889.933000000005</c:v>
                </c:pt>
                <c:pt idx="89">
                  <c:v>102892.239</c:v>
                </c:pt>
                <c:pt idx="90">
                  <c:v>97024.094000000012</c:v>
                </c:pt>
                <c:pt idx="91">
                  <c:v>93195.652000000002</c:v>
                </c:pt>
                <c:pt idx="92">
                  <c:v>110738.871</c:v>
                </c:pt>
                <c:pt idx="93">
                  <c:v>129743.345</c:v>
                </c:pt>
                <c:pt idx="94">
                  <c:v>136393.35800000001</c:v>
                </c:pt>
                <c:pt idx="95">
                  <c:v>140900.69400000002</c:v>
                </c:pt>
                <c:pt idx="96">
                  <c:v>140545.72899999999</c:v>
                </c:pt>
                <c:pt idx="97">
                  <c:v>112865.98499999999</c:v>
                </c:pt>
                <c:pt idx="98">
                  <c:v>110626.943</c:v>
                </c:pt>
                <c:pt idx="99">
                  <c:v>99899.767999999996</c:v>
                </c:pt>
                <c:pt idx="100">
                  <c:v>90301.694000000003</c:v>
                </c:pt>
                <c:pt idx="101">
                  <c:v>100864.22099999999</c:v>
                </c:pt>
                <c:pt idx="102">
                  <c:v>95516.092999999993</c:v>
                </c:pt>
                <c:pt idx="103">
                  <c:v>97798.716000000015</c:v>
                </c:pt>
                <c:pt idx="104">
                  <c:v>105514.53700000001</c:v>
                </c:pt>
                <c:pt idx="105">
                  <c:v>121626.88</c:v>
                </c:pt>
                <c:pt idx="106">
                  <c:v>119783.67300000001</c:v>
                </c:pt>
                <c:pt idx="107">
                  <c:v>130846.36099999999</c:v>
                </c:pt>
                <c:pt idx="108">
                  <c:v>138289.253</c:v>
                </c:pt>
                <c:pt idx="109">
                  <c:v>130379.774</c:v>
                </c:pt>
                <c:pt idx="110">
                  <c:v>118861.997</c:v>
                </c:pt>
                <c:pt idx="111">
                  <c:v>102526.299</c:v>
                </c:pt>
                <c:pt idx="112">
                  <c:v>95383.065999999992</c:v>
                </c:pt>
                <c:pt idx="113">
                  <c:v>103730.477</c:v>
                </c:pt>
                <c:pt idx="114">
                  <c:v>95229.076000000001</c:v>
                </c:pt>
                <c:pt idx="115">
                  <c:v>109815.07799999999</c:v>
                </c:pt>
                <c:pt idx="116">
                  <c:v>120635.257</c:v>
                </c:pt>
                <c:pt idx="117">
                  <c:v>144708.94799999997</c:v>
                </c:pt>
                <c:pt idx="118">
                  <c:v>143505.81300000002</c:v>
                </c:pt>
                <c:pt idx="119">
                  <c:v>149497.522</c:v>
                </c:pt>
                <c:pt idx="120">
                  <c:v>136994.98300000001</c:v>
                </c:pt>
                <c:pt idx="121">
                  <c:v>132424.736</c:v>
                </c:pt>
                <c:pt idx="122">
                  <c:v>122283.641</c:v>
                </c:pt>
                <c:pt idx="123">
                  <c:v>101109.213</c:v>
                </c:pt>
                <c:pt idx="124">
                  <c:v>95305.369000000006</c:v>
                </c:pt>
                <c:pt idx="125">
                  <c:v>104776.71599999999</c:v>
                </c:pt>
                <c:pt idx="126">
                  <c:v>100760.51</c:v>
                </c:pt>
                <c:pt idx="127">
                  <c:v>102521.033</c:v>
                </c:pt>
                <c:pt idx="128">
                  <c:v>117896.704</c:v>
                </c:pt>
                <c:pt idx="129">
                  <c:v>128547.54399999999</c:v>
                </c:pt>
                <c:pt idx="130">
                  <c:v>162417.52900000001</c:v>
                </c:pt>
                <c:pt idx="131">
                  <c:v>142749.08799999999</c:v>
                </c:pt>
                <c:pt idx="132">
                  <c:v>134248.40400000001</c:v>
                </c:pt>
                <c:pt idx="133">
                  <c:v>126830.038</c:v>
                </c:pt>
                <c:pt idx="134">
                  <c:v>118778.83200000001</c:v>
                </c:pt>
                <c:pt idx="135">
                  <c:v>108113.909</c:v>
                </c:pt>
                <c:pt idx="136">
                  <c:v>100323.51700000001</c:v>
                </c:pt>
                <c:pt idx="137">
                  <c:v>101734.08700000001</c:v>
                </c:pt>
                <c:pt idx="138">
                  <c:v>99323.706999999995</c:v>
                </c:pt>
                <c:pt idx="139">
                  <c:v>103879.825</c:v>
                </c:pt>
                <c:pt idx="140">
                  <c:v>106369.226</c:v>
                </c:pt>
                <c:pt idx="141">
                  <c:v>139306.60999999999</c:v>
                </c:pt>
                <c:pt idx="142">
                  <c:v>140017.59</c:v>
                </c:pt>
                <c:pt idx="143">
                  <c:v>152065.89799999999</c:v>
                </c:pt>
                <c:pt idx="144">
                  <c:v>171171.81300000002</c:v>
                </c:pt>
                <c:pt idx="145">
                  <c:v>140281.33899999998</c:v>
                </c:pt>
                <c:pt idx="146">
                  <c:v>125038.73500000002</c:v>
                </c:pt>
                <c:pt idx="147">
                  <c:v>110736.76000000001</c:v>
                </c:pt>
                <c:pt idx="148">
                  <c:v>95260.75</c:v>
                </c:pt>
                <c:pt idx="149">
                  <c:v>105135.31200000001</c:v>
                </c:pt>
                <c:pt idx="150">
                  <c:v>102724.85800000001</c:v>
                </c:pt>
                <c:pt idx="151">
                  <c:v>108643.56200000001</c:v>
                </c:pt>
                <c:pt idx="152">
                  <c:v>117879.88799999999</c:v>
                </c:pt>
                <c:pt idx="153">
                  <c:v>148812.18100000001</c:v>
                </c:pt>
                <c:pt idx="154">
                  <c:v>147932.747</c:v>
                </c:pt>
                <c:pt idx="155">
                  <c:v>161749.95699999999</c:v>
                </c:pt>
                <c:pt idx="156">
                  <c:v>159677.307</c:v>
                </c:pt>
                <c:pt idx="157">
                  <c:v>128801.37899999999</c:v>
                </c:pt>
                <c:pt idx="158">
                  <c:v>125955.576</c:v>
                </c:pt>
                <c:pt idx="159">
                  <c:v>108290.78</c:v>
                </c:pt>
                <c:pt idx="160">
                  <c:v>92175.79800000001</c:v>
                </c:pt>
                <c:pt idx="161">
                  <c:v>102637.755</c:v>
                </c:pt>
                <c:pt idx="162">
                  <c:v>101882.59399999998</c:v>
                </c:pt>
                <c:pt idx="163">
                  <c:v>96520.868999999992</c:v>
                </c:pt>
                <c:pt idx="164">
                  <c:v>112492.67199999999</c:v>
                </c:pt>
                <c:pt idx="165">
                  <c:v>143480.606</c:v>
                </c:pt>
                <c:pt idx="166">
                  <c:v>145555.30599999998</c:v>
                </c:pt>
                <c:pt idx="167">
                  <c:v>171857.467</c:v>
                </c:pt>
                <c:pt idx="168">
                  <c:v>160332.78200000001</c:v>
                </c:pt>
                <c:pt idx="169">
                  <c:v>135090.48300000001</c:v>
                </c:pt>
                <c:pt idx="170">
                  <c:v>136219.26800000001</c:v>
                </c:pt>
                <c:pt idx="171">
                  <c:v>118725.20600000001</c:v>
                </c:pt>
                <c:pt idx="172">
                  <c:v>99506.016999999993</c:v>
                </c:pt>
                <c:pt idx="173">
                  <c:v>114681.13099999999</c:v>
                </c:pt>
                <c:pt idx="174">
                  <c:v>108571.62299999999</c:v>
                </c:pt>
                <c:pt idx="175">
                  <c:v>108023.084</c:v>
                </c:pt>
                <c:pt idx="176">
                  <c:v>134113.478</c:v>
                </c:pt>
                <c:pt idx="177">
                  <c:v>148925.14000000001</c:v>
                </c:pt>
                <c:pt idx="178">
                  <c:v>146607.49400000001</c:v>
                </c:pt>
                <c:pt idx="179">
                  <c:v>163084.28399999999</c:v>
                </c:pt>
                <c:pt idx="180">
                  <c:v>164025.56200000001</c:v>
                </c:pt>
                <c:pt idx="181">
                  <c:v>157938.96799999999</c:v>
                </c:pt>
                <c:pt idx="182">
                  <c:v>143081.74299999999</c:v>
                </c:pt>
                <c:pt idx="183">
                  <c:v>113399.97999999998</c:v>
                </c:pt>
                <c:pt idx="184">
                  <c:v>106545.129</c:v>
                </c:pt>
                <c:pt idx="185">
                  <c:v>112648.06200000001</c:v>
                </c:pt>
                <c:pt idx="186">
                  <c:v>108055.162</c:v>
                </c:pt>
                <c:pt idx="187">
                  <c:v>108630.927</c:v>
                </c:pt>
                <c:pt idx="188">
                  <c:v>116475.515</c:v>
                </c:pt>
                <c:pt idx="189">
                  <c:v>150180.04300000001</c:v>
                </c:pt>
                <c:pt idx="190">
                  <c:v>138423.50200000001</c:v>
                </c:pt>
                <c:pt idx="191">
                  <c:v>157867.386</c:v>
                </c:pt>
                <c:pt idx="192">
                  <c:v>154908.58800000002</c:v>
                </c:pt>
                <c:pt idx="193">
                  <c:v>139428.693</c:v>
                </c:pt>
                <c:pt idx="194">
                  <c:v>126121.40299999999</c:v>
                </c:pt>
                <c:pt idx="195">
                  <c:v>112965.56200000001</c:v>
                </c:pt>
                <c:pt idx="196">
                  <c:v>104268.26700000001</c:v>
                </c:pt>
                <c:pt idx="197">
                  <c:v>111709.01000000001</c:v>
                </c:pt>
                <c:pt idx="198">
                  <c:v>111085.386</c:v>
                </c:pt>
                <c:pt idx="199">
                  <c:v>110407.90699999999</c:v>
                </c:pt>
                <c:pt idx="200">
                  <c:v>123892.14199999999</c:v>
                </c:pt>
                <c:pt idx="201">
                  <c:v>166555.671</c:v>
                </c:pt>
                <c:pt idx="202">
                  <c:v>162632.10800000001</c:v>
                </c:pt>
                <c:pt idx="203">
                  <c:v>176950.372</c:v>
                </c:pt>
                <c:pt idx="204">
                  <c:v>0</c:v>
                </c:pt>
              </c:numCache>
            </c:numRef>
          </c:xVal>
          <c:yVal>
            <c:numRef>
              <c:f>'4 1 Synthese-toutes-energies 20'!$Q$3:$Q$207</c:f>
              <c:numCache>
                <c:formatCode>General</c:formatCode>
                <c:ptCount val="205"/>
                <c:pt idx="0">
                  <c:v>28473.823</c:v>
                </c:pt>
                <c:pt idx="1">
                  <c:v>24742.311000000002</c:v>
                </c:pt>
                <c:pt idx="2">
                  <c:v>21862.687000000002</c:v>
                </c:pt>
                <c:pt idx="3">
                  <c:v>22735.098999999998</c:v>
                </c:pt>
                <c:pt idx="4">
                  <c:v>20885.91</c:v>
                </c:pt>
                <c:pt idx="5">
                  <c:v>20873.255000000001</c:v>
                </c:pt>
                <c:pt idx="6">
                  <c:v>20464.407999999999</c:v>
                </c:pt>
                <c:pt idx="7">
                  <c:v>21017.409</c:v>
                </c:pt>
                <c:pt idx="8">
                  <c:v>22794.816999999999</c:v>
                </c:pt>
                <c:pt idx="9">
                  <c:v>27182.589</c:v>
                </c:pt>
                <c:pt idx="10">
                  <c:v>26121.538</c:v>
                </c:pt>
                <c:pt idx="11">
                  <c:v>29528.624</c:v>
                </c:pt>
                <c:pt idx="12">
                  <c:v>30304.5</c:v>
                </c:pt>
                <c:pt idx="13">
                  <c:v>28349.595000000001</c:v>
                </c:pt>
                <c:pt idx="14">
                  <c:v>25579.041000000001</c:v>
                </c:pt>
                <c:pt idx="15">
                  <c:v>22061.422999999999</c:v>
                </c:pt>
                <c:pt idx="16">
                  <c:v>20749.761999999999</c:v>
                </c:pt>
                <c:pt idx="17">
                  <c:v>21535.487000000001</c:v>
                </c:pt>
                <c:pt idx="18">
                  <c:v>20881.253000000001</c:v>
                </c:pt>
                <c:pt idx="19">
                  <c:v>20758.112000000001</c:v>
                </c:pt>
                <c:pt idx="20">
                  <c:v>22994.138999999999</c:v>
                </c:pt>
                <c:pt idx="21">
                  <c:v>27487.170999999998</c:v>
                </c:pt>
                <c:pt idx="22">
                  <c:v>25494.646000000001</c:v>
                </c:pt>
                <c:pt idx="23">
                  <c:v>29592.929</c:v>
                </c:pt>
                <c:pt idx="24">
                  <c:v>28208.703000000001</c:v>
                </c:pt>
                <c:pt idx="25">
                  <c:v>22663.078000000001</c:v>
                </c:pt>
                <c:pt idx="26">
                  <c:v>24319.416000000001</c:v>
                </c:pt>
                <c:pt idx="27">
                  <c:v>21216.001</c:v>
                </c:pt>
                <c:pt idx="28">
                  <c:v>18754.808000000001</c:v>
                </c:pt>
                <c:pt idx="29">
                  <c:v>20644.256000000001</c:v>
                </c:pt>
                <c:pt idx="30">
                  <c:v>18535.758000000002</c:v>
                </c:pt>
                <c:pt idx="31">
                  <c:v>16738.677</c:v>
                </c:pt>
                <c:pt idx="32">
                  <c:v>14804.465</c:v>
                </c:pt>
                <c:pt idx="33">
                  <c:v>24593.407999999999</c:v>
                </c:pt>
                <c:pt idx="34">
                  <c:v>27227.206999999999</c:v>
                </c:pt>
                <c:pt idx="35">
                  <c:v>30979.055</c:v>
                </c:pt>
                <c:pt idx="36">
                  <c:v>29575.141</c:v>
                </c:pt>
                <c:pt idx="37">
                  <c:v>28744.403999999999</c:v>
                </c:pt>
                <c:pt idx="38">
                  <c:v>25740.879000000001</c:v>
                </c:pt>
                <c:pt idx="39">
                  <c:v>23568.001</c:v>
                </c:pt>
                <c:pt idx="40">
                  <c:v>21569.106</c:v>
                </c:pt>
                <c:pt idx="41">
                  <c:v>24412.564999999999</c:v>
                </c:pt>
                <c:pt idx="42">
                  <c:v>22278.934000000001</c:v>
                </c:pt>
                <c:pt idx="43">
                  <c:v>23834.272000000001</c:v>
                </c:pt>
                <c:pt idx="44">
                  <c:v>25550.724999999999</c:v>
                </c:pt>
                <c:pt idx="45">
                  <c:v>27250.952000000001</c:v>
                </c:pt>
                <c:pt idx="46">
                  <c:v>27900.272000000001</c:v>
                </c:pt>
                <c:pt idx="47">
                  <c:v>33176.821000000004</c:v>
                </c:pt>
                <c:pt idx="48">
                  <c:v>29819.382000000001</c:v>
                </c:pt>
                <c:pt idx="49">
                  <c:v>29588.454000000002</c:v>
                </c:pt>
                <c:pt idx="50">
                  <c:v>28257.317999999999</c:v>
                </c:pt>
                <c:pt idx="51">
                  <c:v>22887.280999999999</c:v>
                </c:pt>
                <c:pt idx="52">
                  <c:v>22538.203000000001</c:v>
                </c:pt>
                <c:pt idx="53">
                  <c:v>23823.973999999998</c:v>
                </c:pt>
                <c:pt idx="54">
                  <c:v>22899.856</c:v>
                </c:pt>
                <c:pt idx="55">
                  <c:v>23099.888999999999</c:v>
                </c:pt>
                <c:pt idx="56">
                  <c:v>23928.256000000001</c:v>
                </c:pt>
                <c:pt idx="57">
                  <c:v>31777.415000000001</c:v>
                </c:pt>
                <c:pt idx="58">
                  <c:v>32063.788</c:v>
                </c:pt>
                <c:pt idx="59">
                  <c:v>29525.858</c:v>
                </c:pt>
                <c:pt idx="60">
                  <c:v>32406.144</c:v>
                </c:pt>
                <c:pt idx="61">
                  <c:v>30137.957999999999</c:v>
                </c:pt>
                <c:pt idx="62">
                  <c:v>26122.44</c:v>
                </c:pt>
                <c:pt idx="63">
                  <c:v>25188.008999999998</c:v>
                </c:pt>
                <c:pt idx="64">
                  <c:v>22082.251</c:v>
                </c:pt>
                <c:pt idx="65">
                  <c:v>23363.875</c:v>
                </c:pt>
                <c:pt idx="66">
                  <c:v>22167.327000000001</c:v>
                </c:pt>
                <c:pt idx="67">
                  <c:v>23720.232</c:v>
                </c:pt>
                <c:pt idx="68">
                  <c:v>24456.39</c:v>
                </c:pt>
                <c:pt idx="69">
                  <c:v>28158.465</c:v>
                </c:pt>
                <c:pt idx="70">
                  <c:v>28499.558000000001</c:v>
                </c:pt>
                <c:pt idx="71">
                  <c:v>35756.438999999998</c:v>
                </c:pt>
                <c:pt idx="72">
                  <c:v>33663.178999999996</c:v>
                </c:pt>
                <c:pt idx="73">
                  <c:v>29799.629000000001</c:v>
                </c:pt>
                <c:pt idx="74">
                  <c:v>28126.491999999998</c:v>
                </c:pt>
                <c:pt idx="75">
                  <c:v>24084.5</c:v>
                </c:pt>
                <c:pt idx="76">
                  <c:v>22003.518</c:v>
                </c:pt>
                <c:pt idx="77">
                  <c:v>21936.501</c:v>
                </c:pt>
                <c:pt idx="78">
                  <c:v>20753.175999999999</c:v>
                </c:pt>
                <c:pt idx="79">
                  <c:v>23572.771000000001</c:v>
                </c:pt>
                <c:pt idx="80">
                  <c:v>25136.51</c:v>
                </c:pt>
                <c:pt idx="81">
                  <c:v>30121.217000000001</c:v>
                </c:pt>
                <c:pt idx="82">
                  <c:v>28644.22</c:v>
                </c:pt>
                <c:pt idx="83">
                  <c:v>29345.185000000001</c:v>
                </c:pt>
                <c:pt idx="84">
                  <c:v>29872.909</c:v>
                </c:pt>
                <c:pt idx="85">
                  <c:v>26238.851999999999</c:v>
                </c:pt>
                <c:pt idx="86">
                  <c:v>27383.455999999998</c:v>
                </c:pt>
                <c:pt idx="87">
                  <c:v>24347.728999999999</c:v>
                </c:pt>
                <c:pt idx="88">
                  <c:v>21795.48</c:v>
                </c:pt>
                <c:pt idx="89">
                  <c:v>23465.138999999999</c:v>
                </c:pt>
                <c:pt idx="90">
                  <c:v>21771.620999999999</c:v>
                </c:pt>
                <c:pt idx="91">
                  <c:v>20920.289000000001</c:v>
                </c:pt>
                <c:pt idx="92">
                  <c:v>25250.771000000001</c:v>
                </c:pt>
                <c:pt idx="93">
                  <c:v>29333.128000000001</c:v>
                </c:pt>
                <c:pt idx="94">
                  <c:v>30986.835999999999</c:v>
                </c:pt>
                <c:pt idx="95">
                  <c:v>31951.244999999999</c:v>
                </c:pt>
                <c:pt idx="96">
                  <c:v>32596.192999999999</c:v>
                </c:pt>
                <c:pt idx="97">
                  <c:v>26303.717000000001</c:v>
                </c:pt>
                <c:pt idx="98">
                  <c:v>26081.737000000001</c:v>
                </c:pt>
                <c:pt idx="99">
                  <c:v>23318.945</c:v>
                </c:pt>
                <c:pt idx="100">
                  <c:v>20527.331999999999</c:v>
                </c:pt>
                <c:pt idx="101">
                  <c:v>22638.643</c:v>
                </c:pt>
                <c:pt idx="102">
                  <c:v>21551.275000000001</c:v>
                </c:pt>
                <c:pt idx="103">
                  <c:v>22074.537</c:v>
                </c:pt>
                <c:pt idx="104">
                  <c:v>24171.286</c:v>
                </c:pt>
                <c:pt idx="105">
                  <c:v>27688.644</c:v>
                </c:pt>
                <c:pt idx="106">
                  <c:v>26961.569</c:v>
                </c:pt>
                <c:pt idx="107">
                  <c:v>29659.39</c:v>
                </c:pt>
                <c:pt idx="108">
                  <c:v>32071.77</c:v>
                </c:pt>
                <c:pt idx="109">
                  <c:v>30515.75</c:v>
                </c:pt>
                <c:pt idx="110">
                  <c:v>28289.458999999999</c:v>
                </c:pt>
                <c:pt idx="111">
                  <c:v>24284.292000000001</c:v>
                </c:pt>
                <c:pt idx="112">
                  <c:v>22093.149000000001</c:v>
                </c:pt>
                <c:pt idx="113">
                  <c:v>23578.039000000001</c:v>
                </c:pt>
                <c:pt idx="114">
                  <c:v>21430.760999999999</c:v>
                </c:pt>
                <c:pt idx="115">
                  <c:v>24945.679</c:v>
                </c:pt>
                <c:pt idx="116">
                  <c:v>27771.616000000002</c:v>
                </c:pt>
                <c:pt idx="117">
                  <c:v>33103.203999999998</c:v>
                </c:pt>
                <c:pt idx="118">
                  <c:v>32853.836000000003</c:v>
                </c:pt>
                <c:pt idx="119">
                  <c:v>34097.023000000001</c:v>
                </c:pt>
                <c:pt idx="120">
                  <c:v>31567.815999999999</c:v>
                </c:pt>
                <c:pt idx="121">
                  <c:v>30917.565999999999</c:v>
                </c:pt>
                <c:pt idx="122">
                  <c:v>29059.444</c:v>
                </c:pt>
                <c:pt idx="123">
                  <c:v>23525.710999999999</c:v>
                </c:pt>
                <c:pt idx="124">
                  <c:v>21830.271000000001</c:v>
                </c:pt>
                <c:pt idx="125">
                  <c:v>24267.831999999999</c:v>
                </c:pt>
                <c:pt idx="126">
                  <c:v>22981.245999999999</c:v>
                </c:pt>
                <c:pt idx="127">
                  <c:v>23131.576000000001</c:v>
                </c:pt>
                <c:pt idx="128">
                  <c:v>26889.206999999999</c:v>
                </c:pt>
                <c:pt idx="129">
                  <c:v>29033.759999999998</c:v>
                </c:pt>
                <c:pt idx="130">
                  <c:v>36820.063999999998</c:v>
                </c:pt>
                <c:pt idx="131">
                  <c:v>31869.597000000002</c:v>
                </c:pt>
                <c:pt idx="132">
                  <c:v>30824.053</c:v>
                </c:pt>
                <c:pt idx="133">
                  <c:v>29445.481</c:v>
                </c:pt>
                <c:pt idx="134">
                  <c:v>27887.870999999999</c:v>
                </c:pt>
                <c:pt idx="135">
                  <c:v>24927.702000000001</c:v>
                </c:pt>
                <c:pt idx="136">
                  <c:v>22816.170999999998</c:v>
                </c:pt>
                <c:pt idx="137">
                  <c:v>22639.427</c:v>
                </c:pt>
                <c:pt idx="138">
                  <c:v>22069.782999999999</c:v>
                </c:pt>
                <c:pt idx="139">
                  <c:v>23690.069</c:v>
                </c:pt>
                <c:pt idx="140">
                  <c:v>24195.620999999999</c:v>
                </c:pt>
                <c:pt idx="141">
                  <c:v>31493.013999999999</c:v>
                </c:pt>
                <c:pt idx="142">
                  <c:v>31871.526999999998</c:v>
                </c:pt>
                <c:pt idx="143">
                  <c:v>34253.938000000002</c:v>
                </c:pt>
                <c:pt idx="144">
                  <c:v>39289.904999999999</c:v>
                </c:pt>
                <c:pt idx="145">
                  <c:v>32017.216</c:v>
                </c:pt>
                <c:pt idx="146">
                  <c:v>29187.666000000001</c:v>
                </c:pt>
                <c:pt idx="147">
                  <c:v>25494.594000000001</c:v>
                </c:pt>
                <c:pt idx="148">
                  <c:v>21713.024000000001</c:v>
                </c:pt>
                <c:pt idx="149">
                  <c:v>23980.41</c:v>
                </c:pt>
                <c:pt idx="150">
                  <c:v>23194.507000000001</c:v>
                </c:pt>
                <c:pt idx="151">
                  <c:v>24569.437000000002</c:v>
                </c:pt>
                <c:pt idx="152">
                  <c:v>27179.276999999998</c:v>
                </c:pt>
                <c:pt idx="153">
                  <c:v>34317.368000000002</c:v>
                </c:pt>
                <c:pt idx="154">
                  <c:v>34036.552000000003</c:v>
                </c:pt>
                <c:pt idx="155">
                  <c:v>37107.428999999996</c:v>
                </c:pt>
                <c:pt idx="156">
                  <c:v>37100.161999999997</c:v>
                </c:pt>
                <c:pt idx="157">
                  <c:v>29338.440999999999</c:v>
                </c:pt>
                <c:pt idx="158">
                  <c:v>29423.253000000001</c:v>
                </c:pt>
                <c:pt idx="159">
                  <c:v>25294.499</c:v>
                </c:pt>
                <c:pt idx="160">
                  <c:v>21222.62</c:v>
                </c:pt>
                <c:pt idx="161">
                  <c:v>23392.973000000002</c:v>
                </c:pt>
                <c:pt idx="162">
                  <c:v>23051.580999999998</c:v>
                </c:pt>
                <c:pt idx="163">
                  <c:v>21514.344000000001</c:v>
                </c:pt>
                <c:pt idx="164">
                  <c:v>25555.638999999999</c:v>
                </c:pt>
                <c:pt idx="165">
                  <c:v>32834.345000000001</c:v>
                </c:pt>
                <c:pt idx="166">
                  <c:v>33591.976999999999</c:v>
                </c:pt>
                <c:pt idx="167">
                  <c:v>39654.339999999997</c:v>
                </c:pt>
                <c:pt idx="168">
                  <c:v>37080.360999999997</c:v>
                </c:pt>
                <c:pt idx="169">
                  <c:v>30504.717000000001</c:v>
                </c:pt>
                <c:pt idx="170">
                  <c:v>31905.919999999998</c:v>
                </c:pt>
                <c:pt idx="171">
                  <c:v>27442.848999999998</c:v>
                </c:pt>
                <c:pt idx="172">
                  <c:v>22724.48</c:v>
                </c:pt>
                <c:pt idx="173">
                  <c:v>26061.08</c:v>
                </c:pt>
                <c:pt idx="174">
                  <c:v>24525.351999999999</c:v>
                </c:pt>
                <c:pt idx="175">
                  <c:v>24301.884999999998</c:v>
                </c:pt>
                <c:pt idx="176">
                  <c:v>30658.831999999999</c:v>
                </c:pt>
                <c:pt idx="177">
                  <c:v>33584.684999999998</c:v>
                </c:pt>
                <c:pt idx="178">
                  <c:v>33435.758999999998</c:v>
                </c:pt>
                <c:pt idx="179">
                  <c:v>37410.811000000002</c:v>
                </c:pt>
                <c:pt idx="180">
                  <c:v>37735.546000000002</c:v>
                </c:pt>
                <c:pt idx="181">
                  <c:v>35919.968999999997</c:v>
                </c:pt>
                <c:pt idx="182">
                  <c:v>32655.129000000001</c:v>
                </c:pt>
                <c:pt idx="183">
                  <c:v>25891.115000000002</c:v>
                </c:pt>
                <c:pt idx="184">
                  <c:v>24383.823</c:v>
                </c:pt>
                <c:pt idx="185">
                  <c:v>25546.862000000001</c:v>
                </c:pt>
                <c:pt idx="186">
                  <c:v>24465.072</c:v>
                </c:pt>
                <c:pt idx="187">
                  <c:v>24659.645</c:v>
                </c:pt>
                <c:pt idx="188">
                  <c:v>26537.357</c:v>
                </c:pt>
                <c:pt idx="189">
                  <c:v>34049.375999999997</c:v>
                </c:pt>
                <c:pt idx="190">
                  <c:v>31302.532999999999</c:v>
                </c:pt>
                <c:pt idx="191">
                  <c:v>35998.449999999997</c:v>
                </c:pt>
                <c:pt idx="192">
                  <c:v>35428.468999999997</c:v>
                </c:pt>
                <c:pt idx="193">
                  <c:v>31483.846000000001</c:v>
                </c:pt>
                <c:pt idx="194">
                  <c:v>28988.845000000001</c:v>
                </c:pt>
                <c:pt idx="195">
                  <c:v>26196.662</c:v>
                </c:pt>
                <c:pt idx="196">
                  <c:v>23790.823</c:v>
                </c:pt>
                <c:pt idx="197">
                  <c:v>25399.378000000001</c:v>
                </c:pt>
                <c:pt idx="198">
                  <c:v>25252.600999999999</c:v>
                </c:pt>
                <c:pt idx="199">
                  <c:v>24578.92</c:v>
                </c:pt>
                <c:pt idx="200">
                  <c:v>27918.598999999998</c:v>
                </c:pt>
                <c:pt idx="201">
                  <c:v>38359.874000000003</c:v>
                </c:pt>
                <c:pt idx="202">
                  <c:v>37273.167000000001</c:v>
                </c:pt>
                <c:pt idx="203">
                  <c:v>40714.197999999997</c:v>
                </c:pt>
              </c:numCache>
            </c:numRef>
          </c:yVal>
          <c:smooth val="0"/>
          <c:extLst>
            <c:ext xmlns:c16="http://schemas.microsoft.com/office/drawing/2014/chart" uri="{C3380CC4-5D6E-409C-BE32-E72D297353CC}">
              <c16:uniqueId val="{00000001-1783-4961-ADE2-37E277CFDCAC}"/>
            </c:ext>
          </c:extLst>
        </c:ser>
        <c:dLbls>
          <c:showLegendKey val="0"/>
          <c:showVal val="0"/>
          <c:showCatName val="0"/>
          <c:showSerName val="0"/>
          <c:showPercent val="0"/>
          <c:showBubbleSize val="0"/>
        </c:dLbls>
        <c:axId val="455925632"/>
        <c:axId val="455928320"/>
      </c:scatterChart>
      <c:valAx>
        <c:axId val="4559256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55928320"/>
        <c:crosses val="autoZero"/>
        <c:crossBetween val="midCat"/>
      </c:valAx>
      <c:valAx>
        <c:axId val="455928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5592563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'Synthese-Electricite'!$L$2:$L$145</cx:f>
        <cx:lvl ptCount="144">
          <cx:pt idx="0">Hiver</cx:pt>
          <cx:pt idx="1">Automne</cx:pt>
          <cx:pt idx="2">Automne</cx:pt>
          <cx:pt idx="3">Automne</cx:pt>
          <cx:pt idx="4">Été</cx:pt>
          <cx:pt idx="5">Été</cx:pt>
          <cx:pt idx="6">Été</cx:pt>
          <cx:pt idx="7">Printemps</cx:pt>
          <cx:pt idx="8">Printemps</cx:pt>
          <cx:pt idx="9">Printemps</cx:pt>
          <cx:pt idx="10">Hiver</cx:pt>
          <cx:pt idx="11">Hiver</cx:pt>
          <cx:pt idx="12">Hiver</cx:pt>
          <cx:pt idx="13">Automne</cx:pt>
          <cx:pt idx="14">Automne</cx:pt>
          <cx:pt idx="15">Automne</cx:pt>
          <cx:pt idx="16">Été</cx:pt>
          <cx:pt idx="17">Été</cx:pt>
          <cx:pt idx="18">Été</cx:pt>
          <cx:pt idx="19">Printemps</cx:pt>
          <cx:pt idx="20">Printemps</cx:pt>
          <cx:pt idx="21">Printemps</cx:pt>
          <cx:pt idx="22">Hiver</cx:pt>
          <cx:pt idx="23">Hiver</cx:pt>
          <cx:pt idx="24">Hiver</cx:pt>
          <cx:pt idx="25">Automne</cx:pt>
          <cx:pt idx="26">Automne</cx:pt>
          <cx:pt idx="27">Automne</cx:pt>
          <cx:pt idx="28">Été</cx:pt>
          <cx:pt idx="29">Été</cx:pt>
          <cx:pt idx="30">Été</cx:pt>
          <cx:pt idx="31">Printemps</cx:pt>
          <cx:pt idx="32">Printemps</cx:pt>
          <cx:pt idx="33">Printemps</cx:pt>
          <cx:pt idx="34">Hiver</cx:pt>
          <cx:pt idx="35">Hiver</cx:pt>
          <cx:pt idx="36">Hiver</cx:pt>
          <cx:pt idx="37">Automne</cx:pt>
          <cx:pt idx="38">Automne</cx:pt>
          <cx:pt idx="39">Automne</cx:pt>
          <cx:pt idx="40">Été</cx:pt>
          <cx:pt idx="41">Été</cx:pt>
          <cx:pt idx="42">Été</cx:pt>
          <cx:pt idx="43">Printemps</cx:pt>
          <cx:pt idx="44">Printemps</cx:pt>
          <cx:pt idx="45">Printemps</cx:pt>
          <cx:pt idx="46">Hiver</cx:pt>
          <cx:pt idx="47">Hiver</cx:pt>
          <cx:pt idx="48">Hiver</cx:pt>
          <cx:pt idx="49">Automne</cx:pt>
          <cx:pt idx="50">Automne</cx:pt>
          <cx:pt idx="51">Automne</cx:pt>
          <cx:pt idx="52">Été</cx:pt>
          <cx:pt idx="53">Été</cx:pt>
          <cx:pt idx="54">Été</cx:pt>
          <cx:pt idx="55">Printemps</cx:pt>
          <cx:pt idx="56">Printemps</cx:pt>
          <cx:pt idx="57">Printemps</cx:pt>
          <cx:pt idx="58">Hiver</cx:pt>
          <cx:pt idx="59">Hiver</cx:pt>
          <cx:pt idx="60">Hiver</cx:pt>
          <cx:pt idx="61">Automne</cx:pt>
          <cx:pt idx="62">Automne</cx:pt>
          <cx:pt idx="63">Automne</cx:pt>
          <cx:pt idx="64">Été</cx:pt>
          <cx:pt idx="65">Été</cx:pt>
          <cx:pt idx="66">Été</cx:pt>
          <cx:pt idx="67">Printemps</cx:pt>
          <cx:pt idx="68">Printemps</cx:pt>
          <cx:pt idx="69">Printemps</cx:pt>
          <cx:pt idx="70">Hiver</cx:pt>
          <cx:pt idx="71">Hiver</cx:pt>
          <cx:pt idx="72">Hiver</cx:pt>
          <cx:pt idx="73">Automne</cx:pt>
          <cx:pt idx="74">Automne</cx:pt>
          <cx:pt idx="75">Automne</cx:pt>
          <cx:pt idx="76">Été</cx:pt>
          <cx:pt idx="77">Été</cx:pt>
          <cx:pt idx="78">Été</cx:pt>
          <cx:pt idx="79">Printemps</cx:pt>
          <cx:pt idx="80">Printemps</cx:pt>
          <cx:pt idx="81">Printemps</cx:pt>
          <cx:pt idx="82">Hiver</cx:pt>
          <cx:pt idx="83">Hiver</cx:pt>
          <cx:pt idx="84">Hiver</cx:pt>
          <cx:pt idx="85">Automne</cx:pt>
          <cx:pt idx="86">Automne</cx:pt>
          <cx:pt idx="87">Automne</cx:pt>
          <cx:pt idx="88">Été</cx:pt>
          <cx:pt idx="89">Été</cx:pt>
          <cx:pt idx="90">Été</cx:pt>
          <cx:pt idx="91">Printemps</cx:pt>
          <cx:pt idx="92">Printemps</cx:pt>
          <cx:pt idx="93">Printemps</cx:pt>
          <cx:pt idx="94">Hiver</cx:pt>
          <cx:pt idx="95">Hiver</cx:pt>
          <cx:pt idx="96">Hiver</cx:pt>
          <cx:pt idx="97">Automne</cx:pt>
          <cx:pt idx="98">Automne</cx:pt>
          <cx:pt idx="99">Automne</cx:pt>
          <cx:pt idx="100">Été</cx:pt>
          <cx:pt idx="101">Été</cx:pt>
          <cx:pt idx="102">Été</cx:pt>
          <cx:pt idx="103">Printemps</cx:pt>
          <cx:pt idx="104">Printemps</cx:pt>
          <cx:pt idx="105">Printemps</cx:pt>
          <cx:pt idx="106">Hiver</cx:pt>
          <cx:pt idx="107">Hiver</cx:pt>
          <cx:pt idx="108">Hiver</cx:pt>
          <cx:pt idx="109">Automne</cx:pt>
          <cx:pt idx="110">Automne</cx:pt>
          <cx:pt idx="111">Automne</cx:pt>
          <cx:pt idx="112">Été</cx:pt>
          <cx:pt idx="113">Été</cx:pt>
          <cx:pt idx="114">Été</cx:pt>
          <cx:pt idx="115">Printemps</cx:pt>
          <cx:pt idx="116">Printemps</cx:pt>
          <cx:pt idx="117">Printemps</cx:pt>
          <cx:pt idx="118">Hiver</cx:pt>
          <cx:pt idx="119">Hiver</cx:pt>
          <cx:pt idx="120">Hiver</cx:pt>
          <cx:pt idx="121">Automne</cx:pt>
          <cx:pt idx="122">Automne</cx:pt>
          <cx:pt idx="123">Automne</cx:pt>
          <cx:pt idx="124">Été</cx:pt>
          <cx:pt idx="125">Été</cx:pt>
          <cx:pt idx="126">Été</cx:pt>
          <cx:pt idx="127">Printemps</cx:pt>
          <cx:pt idx="128">Printemps</cx:pt>
          <cx:pt idx="129">Printemps</cx:pt>
          <cx:pt idx="130">Hiver</cx:pt>
          <cx:pt idx="131">Hiver</cx:pt>
          <cx:pt idx="132">Hiver</cx:pt>
          <cx:pt idx="133">Automne</cx:pt>
          <cx:pt idx="134">Automne</cx:pt>
          <cx:pt idx="135">Automne</cx:pt>
          <cx:pt idx="136">Été</cx:pt>
          <cx:pt idx="137">Été</cx:pt>
          <cx:pt idx="138">Été</cx:pt>
          <cx:pt idx="139">Printemps</cx:pt>
          <cx:pt idx="140">Printemps</cx:pt>
          <cx:pt idx="141">Printemps</cx:pt>
          <cx:pt idx="142">Hiver</cx:pt>
          <cx:pt idx="143">Hiver</cx:pt>
        </cx:lvl>
      </cx:strDim>
      <cx:numDim type="val">
        <cx:f>'Synthese-Electricite'!$F$2:$F$145</cx:f>
        <cx:lvl ptCount="144" formatCode="Standard">
          <cx:pt idx="0">101739.33</cx:pt>
          <cx:pt idx="1">82618.320999999996</cx:pt>
          <cx:pt idx="2">77235.451000000001</cx:pt>
          <cx:pt idx="3">68889.017999999996</cx:pt>
          <cx:pt idx="4">67857.819000000003</cx:pt>
          <cx:pt idx="5">71804.539999999994</cx:pt>
          <cx:pt idx="6">72673.888999999996</cx:pt>
          <cx:pt idx="7">76347.869000000006</cx:pt>
          <cx:pt idx="8">81476.797000000006</cx:pt>
          <cx:pt idx="9">98215.301999999996</cx:pt>
          <cx:pt idx="10">105420.47100000001</cx:pt>
          <cx:pt idx="11">122244.81299999999</cx:pt>
          <cx:pt idx="12">113862.836</cx:pt>
          <cx:pt idx="13">103338.44899999999</cx:pt>
          <cx:pt idx="14">100824.03200000001</cx:pt>
          <cx:pt idx="15">93302.289999999994</cx:pt>
          <cx:pt idx="16">94077.998999999996</cx:pt>
          <cx:pt idx="17">93748.603000000003</cx:pt>
          <cx:pt idx="18">89891.153999999995</cx:pt>
          <cx:pt idx="19">91972.191999999995</cx:pt>
          <cx:pt idx="20">92509.194000000003</cx:pt>
          <cx:pt idx="21">108001.88499999999</cx:pt>
          <cx:pt idx="22">107337.637</cx:pt>
          <cx:pt idx="23">126996.304</cx:pt>
          <cx:pt idx="24">118633.62699999999</cx:pt>
          <cx:pt idx="25">106034.62699999999</cx:pt>
          <cx:pt idx="26">97153.659</cx:pt>
          <cx:pt idx="27">77356.474000000002</cx:pt>
          <cx:pt idx="28">78900.646999999997</cx:pt>
          <cx:pt idx="29">79794.891000000003</cx:pt>
          <cx:pt idx="30">75457.934999999998</cx:pt>
          <cx:pt idx="31">84761.683000000005</cx:pt>
          <cx:pt idx="32">91742.873000000007</cx:pt>
          <cx:pt idx="33">104942.89</cx:pt>
          <cx:pt idx="34">112056.784</cx:pt>
          <cx:pt idx="35">127652.379</cx:pt>
          <cx:pt idx="36">116757.08500000001</cx:pt>
          <cx:pt idx="37">101727.058</cx:pt>
          <cx:pt idx="38">98557.437000000005</cx:pt>
          <cx:pt idx="39">89656.631999999998</cx:pt>
          <cx:pt idx="40">89475.376999999993</cx:pt>
          <cx:pt idx="41">95641.773000000001</cx:pt>
          <cx:pt idx="42">92925.342000000004</cx:pt>
          <cx:pt idx="43">101378.798</cx:pt>
          <cx:pt idx="44">104769.129</cx:pt>
          <cx:pt idx="45">118562.564</cx:pt>
          <cx:pt idx="46">119624.963</cx:pt>
          <cx:pt idx="47">133434.58600000001</cx:pt>
          <cx:pt idx="48">128804.89200000001</cx:pt>
          <cx:pt idx="49">110141.77800000001</cx:pt>
          <cx:pt idx="50">103174.075</cx:pt>
          <cx:pt idx="51">96200.369000000006</cx:pt>
          <cx:pt idx="52">89685.150999999998</cx:pt>
          <cx:pt idx="53">97487.360000000001</cx:pt>
          <cx:pt idx="54">93112.986999999994</cx:pt>
          <cx:pt idx="55">101143.84699999999</cx:pt>
          <cx:pt idx="56">104119.656</cx:pt>
          <cx:pt idx="57">119066.515</cx:pt>
          <cx:pt idx="58">121378.588</cx:pt>
          <cx:pt idx="59">137924.897</cx:pt>
          <cx:pt idx="60">126402.583</cx:pt>
          <cx:pt idx="61">103027.705</cx:pt>
          <cx:pt idx="62">94094.212</cx:pt>
          <cx:pt idx="63">94579.952999999994</cx:pt>
          <cx:pt idx="64">92577.668999999994</cx:pt>
          <cx:pt idx="65">91963.101999999999</cx:pt>
          <cx:pt idx="66">89238.354000000007</cx:pt>
          <cx:pt idx="67">98583.262000000002</cx:pt>
          <cx:pt idx="68">101559.806</cx:pt>
          <cx:pt idx="69">115976.24400000001</cx:pt>
          <cx:pt idx="70">113502.993</cx:pt>
          <cx:pt idx="71">132932.36499999999</cx:pt>
          <cx:pt idx="72">121746.79399999999</cx:pt>
          <cx:pt idx="73">105120.86900000001</cx:pt>
          <cx:pt idx="74">94924.881999999998</cx:pt>
          <cx:pt idx="75">87030.551999999996</cx:pt>
          <cx:pt idx="76">89063.804999999993</cx:pt>
          <cx:pt idx="77">93365.251999999993</cx:pt>
          <cx:pt idx="78">93667.933999999994</cx:pt>
          <cx:pt idx="79">97483.324999999997</cx:pt>
          <cx:pt idx="80">102910.13</cx:pt>
          <cx:pt idx="81">120861.255</cx:pt>
          <cx:pt idx="82">121057.969</cx:pt>
          <cx:pt idx="83">137200.48300000001</cx:pt>
          <cx:pt idx="84">131878.228</cx:pt>
          <cx:pt idx="85">117025.652</cx:pt>
          <cx:pt idx="86">108690.212</cx:pt>
          <cx:pt idx="87">98332.945999999996</cx:pt>
          <cx:pt idx="88">100290.107</cx:pt>
          <cx:pt idx="89">106188.031</cx:pt>
          <cx:pt idx="90">99228.376999999993</cx:pt>
          <cx:pt idx="91">99710.020999999993</cx:pt>
          <cx:pt idx="92">104238.194</cx:pt>
          <cx:pt idx="93">121420.841</cx:pt>
          <cx:pt idx="94">124040.258</cx:pt>
          <cx:pt idx="95">142068.386</cx:pt>
          <cx:pt idx="96">135360.068</cx:pt>
          <cx:pt idx="97">118985.633</cx:pt>
          <cx:pt idx="98">108071.08100000001</cx:pt>
          <cx:pt idx="99">101267.886</cx:pt>
          <cx:pt idx="100">100251.541</cx:pt>
          <cx:pt idx="101">106406.202</cx:pt>
          <cx:pt idx="102">98834.731</cx:pt>
          <cx:pt idx="103">100689.303</cx:pt>
          <cx:pt idx="104">104416.71799999999</cx:pt>
          <cx:pt idx="105">119372.99400000001</cx:pt>
          <cx:pt idx="106">123315.409</cx:pt>
          <cx:pt idx="107">141988.77100000001</cx:pt>
          <cx:pt idx="108">133477.69699999999</cx:pt>
          <cx:pt idx="109">114378.76700000001</cx:pt>
          <cx:pt idx="110">103602.09699999999</cx:pt>
          <cx:pt idx="111">95267.828999999998</cx:pt>
          <cx:pt idx="112">94410.301000000007</cx:pt>
          <cx:pt idx="113">100539.86599999999</cx:pt>
          <cx:pt idx="114">95271.593999999997</cx:pt>
          <cx:pt idx="115">100798.121</cx:pt>
          <cx:pt idx="116">105144.986</cx:pt>
          <cx:pt idx="117">117945.99000000001</cx:pt>
          <cx:pt idx="118">121653.34600000001</cx:pt>
          <cx:pt idx="119">137794.986</cx:pt>
          <cx:pt idx="120">131612.47899999999</cx:pt>
          <cx:pt idx="121">120039.368</cx:pt>
          <cx:pt idx="122">107111.125</cx:pt>
          <cx:pt idx="123">96929.414000000004</cx:pt>
          <cx:pt idx="124">91486.589999999997</cx:pt>
          <cx:pt idx="125">95154.142000000007</cx:pt>
          <cx:pt idx="126">89777.911999999997</cx:pt>
          <cx:pt idx="127">97823.307000000001</cx:pt>
          <cx:pt idx="128">107680.724</cx:pt>
          <cx:pt idx="129">122394.708</cx:pt>
          <cx:pt idx="130">122863.35400000001</cx:pt>
          <cx:pt idx="131">140006.758</cx:pt>
          <cx:pt idx="132">131284.288</cx:pt>
          <cx:pt idx="133">111091.747</cx:pt>
          <cx:pt idx="134">105485.333</cx:pt>
          <cx:pt idx="135">100310.711</cx:pt>
          <cx:pt idx="136">100757.17999999999</cx:pt>
          <cx:pt idx="137">105693.101</cx:pt>
          <cx:pt idx="138">103686.879</cx:pt>
          <cx:pt idx="139">106048.662</cx:pt>
          <cx:pt idx="140">107686.867</cx:pt>
          <cx:pt idx="141">121598.295</cx:pt>
          <cx:pt idx="142">124086.333</cx:pt>
          <cx:pt idx="143">141886.171</cx:pt>
        </cx:lvl>
      </cx:numDim>
    </cx:data>
  </cx:chartData>
  <cx:chart>
    <cx:title pos="t" align="ctr" overlay="0">
      <cx:tx>
        <cx:txData>
          <cx:v>Dispersion de la conso électrique par saison</cx:v>
        </cx:txData>
      </cx:tx>
      <cx:txPr>
        <a:bodyPr spcFirstLastPara="1" vertOverflow="ellipsis" horzOverflow="overflow" wrap="square" lIns="0" tIns="0" rIns="0" bIns="0" anchor="ctr" anchorCtr="1"/>
        <a:lstStyle/>
        <a:p>
          <a:pPr algn="ctr" rtl="0">
            <a:defRPr/>
          </a:pPr>
          <a:r>
            <a:rPr lang="fr-FR" sz="1400" b="0" i="0" u="none" strike="noStrike" baseline="0">
              <a:solidFill>
                <a:sysClr val="windowText" lastClr="000000">
                  <a:lumMod val="65000"/>
                  <a:lumOff val="35000"/>
                </a:sysClr>
              </a:solidFill>
              <a:latin typeface="Calibri" panose="020F0502020204030204"/>
            </a:rPr>
            <a:t>Dispersion de la conso électrique par saison</a:t>
          </a:r>
        </a:p>
      </cx:txPr>
    </cx:title>
    <cx:plotArea>
      <cx:plotAreaRegion>
        <cx:series layoutId="boxWhisker" uniqueId="{AE306A30-94B8-4C8A-8F84-4258BB4D0380}">
          <cx:tx>
            <cx:txData>
              <cx:f>'Synthese-Electricite'!$F$1</cx:f>
              <cx:v>Conso_CVC_CJO</cx:v>
            </cx:txData>
          </cx:tx>
          <cx:spPr>
            <a:solidFill>
              <a:schemeClr val="accent5">
                <a:lumMod val="75000"/>
              </a:schemeClr>
            </a:solidFill>
            <a:ln>
              <a:solidFill>
                <a:schemeClr val="tx1">
                  <a:lumMod val="15000"/>
                  <a:lumOff val="85000"/>
                </a:schemeClr>
              </a:solidFill>
            </a:ln>
          </cx:spPr>
          <cx:dataId val="0"/>
          <cx:layoutPr>
            <cx:visibility meanLine="0" meanMarker="1" nonoutliers="0" outliers="1"/>
            <cx:statistics quartileMethod="exclusive"/>
          </cx:layoutPr>
        </cx:series>
      </cx:plotAreaRegion>
      <cx:axis id="0">
        <cx:catScaling gapWidth="1"/>
        <cx:title>
          <cx:tx>
            <cx:txData>
              <cx:v>Saisons</cx:v>
            </cx:txData>
          </cx:tx>
          <cx:txPr>
            <a:bodyPr spcFirstLastPara="1" vertOverflow="ellipsis" horzOverflow="overflow" wrap="square" lIns="0" tIns="0" rIns="0" bIns="0" anchor="ctr" anchorCtr="1"/>
            <a:lstStyle/>
            <a:p>
              <a:pPr algn="ctr" rtl="0">
                <a:defRPr/>
              </a:pPr>
              <a:r>
                <a:rPr lang="fr-FR" sz="900" b="0" i="0" u="none" strike="noStrike" baseline="0">
                  <a:solidFill>
                    <a:sysClr val="windowText" lastClr="000000">
                      <a:lumMod val="65000"/>
                      <a:lumOff val="35000"/>
                    </a:sysClr>
                  </a:solidFill>
                  <a:latin typeface="Calibri" panose="020F0502020204030204"/>
                </a:rPr>
                <a:t>Saisons</a:t>
              </a:r>
            </a:p>
          </cx:txPr>
        </cx:title>
        <cx:tickLabels/>
      </cx:axis>
      <cx:axis id="1">
        <cx:valScaling/>
        <cx:title>
          <cx:tx>
            <cx:txData>
              <cx:v>Consommation (GWh)</cx:v>
            </cx:txData>
          </cx:tx>
          <cx:txPr>
            <a:bodyPr spcFirstLastPara="1" vertOverflow="ellipsis" horzOverflow="overflow" wrap="square" lIns="0" tIns="0" rIns="0" bIns="0" anchor="ctr" anchorCtr="1"/>
            <a:lstStyle/>
            <a:p>
              <a:pPr algn="ctr" rtl="0">
                <a:defRPr/>
              </a:pPr>
              <a:r>
                <a:rPr lang="fr-FR" sz="900" b="0" i="0" u="none" strike="noStrike" baseline="0">
                  <a:solidFill>
                    <a:sysClr val="windowText" lastClr="000000">
                      <a:lumMod val="65000"/>
                      <a:lumOff val="35000"/>
                    </a:sysClr>
                  </a:solidFill>
                  <a:latin typeface="Calibri" panose="020F0502020204030204"/>
                </a:rPr>
                <a:t>Consommation (GWh)</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99C9-E505-41EC-B2E2-946EF84A0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5692</Words>
  <Characters>31306</Characters>
  <Application>Microsoft Office Word</Application>
  <DocSecurity>0</DocSecurity>
  <Lines>260</Lines>
  <Paragraphs>73</Paragraphs>
  <ScaleCrop>false</ScaleCrop>
  <Company/>
  <LinksUpToDate>false</LinksUpToDate>
  <CharactersWithSpaces>36925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Moal</dc:creator>
  <dc:description/>
  <cp:lastModifiedBy>Noa Moal</cp:lastModifiedBy>
  <cp:revision>2</cp:revision>
  <dcterms:created xsi:type="dcterms:W3CDTF">2026-05-10T18:43:00Z</dcterms:created>
  <dcterms:modified xsi:type="dcterms:W3CDTF">2026-05-10T18:43:00Z</dcterms:modified>
</cp:coreProperties>
</file>