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374" w14:textId="420CD072" w:rsidR="00840432" w:rsidRPr="002C6CF2" w:rsidRDefault="002C6CF2" w:rsidP="002C6CF2">
      <w:r w:rsidRPr="002C6CF2">
        <w:t>Feb 10 on Twitter: Unified Command has confirmed w/ lab analysis that est. 500-750 gallons of diesel/water mix was released during yesterday’s incident at Chevron Richmond refinery. Photo shows Keller Beach, where some sheen reached shore. No oiled wildlife observed.</w:t>
      </w:r>
    </w:p>
    <w:sectPr w:rsidR="00840432" w:rsidRPr="002C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0"/>
    <w:rsid w:val="001E5B10"/>
    <w:rsid w:val="0027202F"/>
    <w:rsid w:val="002C6CF2"/>
    <w:rsid w:val="00473DF7"/>
    <w:rsid w:val="0048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6C11"/>
  <w15:chartTrackingRefBased/>
  <w15:docId w15:val="{4808722A-00CD-8243-AAF5-6D2954F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2</cp:revision>
  <dcterms:created xsi:type="dcterms:W3CDTF">2021-04-26T04:14:00Z</dcterms:created>
  <dcterms:modified xsi:type="dcterms:W3CDTF">2021-04-26T04:14:00Z</dcterms:modified>
</cp:coreProperties>
</file>