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7DE9" w14:textId="7F243125" w:rsidR="00840432" w:rsidRDefault="00537A4E">
      <w:r w:rsidRPr="00537A4E">
        <w:t>Feb 12 on Twitter: OSPR’s team of incident investigators collected samples from recovered sorbent boom at the Richmond Long Wharf yesterday. The U.S. Coast Guard and Chevron are also conducting ongoing investigations. The investigations are kept independent of the response.</w:t>
      </w:r>
    </w:p>
    <w:sectPr w:rsidR="0084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4E"/>
    <w:rsid w:val="0027202F"/>
    <w:rsid w:val="00473DF7"/>
    <w:rsid w:val="0053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DB13B"/>
  <w15:chartTrackingRefBased/>
  <w15:docId w15:val="{853CF11C-F6B2-8D46-B611-768C3E9B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Baustin</dc:creator>
  <cp:keywords/>
  <dc:description/>
  <cp:lastModifiedBy>Noah Baustin</cp:lastModifiedBy>
  <cp:revision>1</cp:revision>
  <dcterms:created xsi:type="dcterms:W3CDTF">2021-04-26T04:09:00Z</dcterms:created>
  <dcterms:modified xsi:type="dcterms:W3CDTF">2021-04-26T04:09:00Z</dcterms:modified>
</cp:coreProperties>
</file>