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total digital input/output pins does the XEM 7310-A75 board have?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126 user pins - 2 sets of 80 connectors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maximum clocking speed of the XEM 7310-A75 board?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200 Mhz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does the XEM 6002 board compare to XEM 7310-A75 in terms of logic gate count, transfer speeds between the board and PC, external memory, and clocking speed of digital logic?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0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XEM 6002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XEM 7310-A75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Logic Gate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Medium Gate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Transfer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 MBytes/Second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340 MiBytes/Second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External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 Mb 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 GiByte DDR3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Clocking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 MHz - 150 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200Mhz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Why is the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clkdiv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register 24-bit long?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reason for the clkdiv being 24 bits is because it is being divided by 10,000,000 so that the 20MHz clock will run at 2 Hz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clkdiv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declared as an 8-bit register, what is the minimum frequency you can achieve for the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slow_clk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signal using these FSMs?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 at the Project Summary window. In the Utilization section, you will find out the number of look up tables (LUT), flip flops (FF), input/output pins (IO) and buffers (BUFG) are used for your design. How many resources on the FPGA are used to implement your code?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34 LUT, 40 FF, 10 IO, BUFG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110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Include a printout of your Verilog code with your report.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0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692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