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jc w:val="left"/>
      </w:pPr>
      <w:r>
        <w:rPr>
          <w:rFonts w:ascii="Times New Roman" w:cs="Times New Roman" w:eastAsia="Times New Roman" w:hAnsi="Times New Roman"/>
          <w:b/>
          <w:bCs/>
          <w:sz w:val="48"/>
          <w:szCs w:val="48"/>
        </w:rPr>
        <w:t xml:space="preserve">DBL Data Converter</w:t>
      </w:r>
    </w:p>
    <w:p>
      <w:pPr>
        <w:pBdr>
          <w:bottom w:val="single" w:color="000000" w:sz="12" w:space="6"/>
        </w:pBdr>
        <w:spacing w:after="480"/>
      </w:pPr>
      <w:r>
        <w:rPr>
          <w:rFonts w:ascii="Times New Roman" w:cs="Times New Roman" w:eastAsia="Times New Roman" w:hAnsi="Times New Roman"/>
          <w:sz w:val="36"/>
          <w:szCs w:val="36"/>
        </w:rPr>
        <w:t xml:space="preserve">User Guide</w:t>
      </w:r>
    </w:p>
    <w:p>
      <w:r>
        <w:rPr>
          <w:rFonts w:ascii="Times New Roman" w:cs="Times New Roman" w:eastAsia="Times New Roman" w:hAnsi="Times New Roman"/>
          <w:sz w:val="24"/>
          <w:szCs w:val="24"/>
        </w:rPr>
        <w:t xml:space="preserve">Software version 1.0.0</w:t>
      </w:r>
    </w:p>
    <w:p>
      <w:r>
        <w:rPr>
          <w:rFonts w:ascii="Times New Roman" w:cs="Times New Roman" w:eastAsia="Times New Roman" w:hAnsi="Times New Roman"/>
          <w:sz w:val="24"/>
          <w:szCs w:val="24"/>
        </w:rPr>
        <w:t xml:space="preserve">Document version 1.0, October 2026</w:t>
      </w:r>
    </w:p>
    <w:p>
      <w:r>
        <w:br w:type="page"/>
      </w:r>
    </w:p>
    <w:p>
      <w:pPr>
        <w:sectPr>
          <w:pgSz w:w="12240" w:h="15840" w:orient="portrait"/>
          <w:pgMar w:top="1440" w:right="1440" w:bottom="1440" w:left="1440" w:header="708" w:footer="708" w:gutter="0"/>
          <w:pgNumType/>
          <w:docGrid w:linePitch="360"/>
        </w:sectPr>
      </w:pPr>
    </w:p>
    <w:p>
      <w:pPr>
        <w:spacing w:after="240"/>
      </w:pPr>
      <w:r>
        <w:rPr>
          <w:rFonts w:ascii="Times New Roman" w:cs="Times New Roman" w:eastAsia="Times New Roman" w:hAnsi="Times New Roman"/>
          <w:b/>
          <w:bCs/>
          <w:sz w:val="28"/>
          <w:szCs w:val="28"/>
        </w:rPr>
        <w:t xml:space="preserve">Contents</w:t>
      </w:r>
    </w:p>
    <w:p>
      <w:pPr>
        <w:tabs>
          <w:tab w:val="right" w:pos="9360" w:leader="dot"/>
        </w:tabs>
        <w:spacing w:after="100"/>
      </w:pPr>
      <w:r>
        <w:rPr>
          <w:rFonts w:ascii="Times New Roman" w:cs="Times New Roman" w:eastAsia="Times New Roman" w:hAnsi="Times New Roman"/>
        </w:rPr>
        <w:t xml:space="preserve">1    Introduction	2</w:t>
      </w:r>
    </w:p>
    <w:p>
      <w:pPr>
        <w:tabs>
          <w:tab w:val="right" w:pos="9360" w:leader="dot"/>
        </w:tabs>
        <w:spacing w:after="100"/>
      </w:pPr>
      <w:r>
        <w:rPr>
          <w:rFonts w:ascii="Times New Roman" w:cs="Times New Roman" w:eastAsia="Times New Roman" w:hAnsi="Times New Roman"/>
        </w:rPr>
        <w:t xml:space="preserve">2    System Requirements	2</w:t>
      </w:r>
    </w:p>
    <w:p>
      <w:pPr>
        <w:tabs>
          <w:tab w:val="right" w:pos="9360" w:leader="dot"/>
        </w:tabs>
        <w:spacing w:after="100"/>
      </w:pPr>
      <w:r>
        <w:rPr>
          <w:rFonts w:ascii="Times New Roman" w:cs="Times New Roman" w:eastAsia="Times New Roman" w:hAnsi="Times New Roman"/>
        </w:rPr>
        <w:t xml:space="preserve">3    Installation	2</w:t>
      </w:r>
    </w:p>
    <w:p>
      <w:pPr>
        <w:tabs>
          <w:tab w:val="right" w:pos="9360" w:leader="dot"/>
        </w:tabs>
        <w:spacing w:after="100"/>
      </w:pPr>
      <w:r>
        <w:rPr>
          <w:rFonts w:ascii="Times New Roman" w:cs="Times New Roman" w:eastAsia="Times New Roman" w:hAnsi="Times New Roman"/>
        </w:rPr>
        <w:t xml:space="preserve">4    Preparing the Data	3</w:t>
      </w:r>
    </w:p>
    <w:p>
      <w:pPr>
        <w:tabs>
          <w:tab w:val="right" w:pos="9360" w:leader="dot"/>
        </w:tabs>
        <w:spacing w:after="100"/>
      </w:pPr>
      <w:r>
        <w:rPr>
          <w:rFonts w:ascii="Times New Roman" w:cs="Times New Roman" w:eastAsia="Times New Roman" w:hAnsi="Times New Roman"/>
        </w:rPr>
        <w:t xml:space="preserve">5    Converting the Data	4</w:t>
      </w:r>
    </w:p>
    <w:p>
      <w:pPr>
        <w:tabs>
          <w:tab w:val="right" w:pos="9360" w:leader="dot"/>
        </w:tabs>
        <w:spacing w:after="100"/>
      </w:pPr>
      <w:r>
        <w:rPr>
          <w:rFonts w:ascii="Times New Roman" w:cs="Times New Roman" w:eastAsia="Times New Roman" w:hAnsi="Times New Roman"/>
        </w:rPr>
        <w:t xml:space="preserve">6    Output	4</w:t>
      </w:r>
    </w:p>
    <w:p>
      <w:pPr>
        <w:tabs>
          <w:tab w:val="right" w:pos="9360" w:leader="dot"/>
        </w:tabs>
        <w:spacing w:after="100"/>
      </w:pPr>
      <w:r>
        <w:rPr>
          <w:rFonts w:ascii="Times New Roman" w:cs="Times New Roman" w:eastAsia="Times New Roman" w:hAnsi="Times New Roman"/>
        </w:rPr>
        <w:t xml:space="preserve">7    Verifying the Results	5</w:t>
      </w:r>
    </w:p>
    <w:p>
      <w:pPr>
        <w:tabs>
          <w:tab w:val="right" w:pos="9360" w:leader="dot"/>
        </w:tabs>
        <w:spacing w:after="100"/>
      </w:pPr>
      <w:r>
        <w:rPr>
          <w:rFonts w:ascii="Times New Roman" w:cs="Times New Roman" w:eastAsia="Times New Roman" w:hAnsi="Times New Roman"/>
        </w:rPr>
        <w:t xml:space="preserve">8    Troubleshooting	6</w:t>
      </w:r>
    </w:p>
    <w:p>
      <w:pPr>
        <w:tabs>
          <w:tab w:val="right" w:pos="9360" w:leader="dot"/>
        </w:tabs>
        <w:spacing w:after="100"/>
      </w:pPr>
      <w:r>
        <w:rPr>
          <w:rFonts w:ascii="Times New Roman" w:cs="Times New Roman" w:eastAsia="Times New Roman" w:hAnsi="Times New Roman"/>
        </w:rPr>
        <w:t xml:space="preserve">9    Data Protection	6</w:t>
      </w:r>
    </w:p>
    <w:p>
      <w:pPr>
        <w:tabs>
          <w:tab w:val="right" w:pos="9360" w:leader="dot"/>
        </w:tabs>
        <w:spacing w:after="100"/>
      </w:pPr>
      <w:r>
        <w:rPr>
          <w:rFonts w:ascii="Times New Roman" w:cs="Times New Roman" w:eastAsia="Times New Roman" w:hAnsi="Times New Roman"/>
        </w:rPr>
        <w:t xml:space="preserve">Appendix A: Specifying a Record Layout	7</w:t>
      </w:r>
    </w:p>
    <w:p>
      <w:r>
        <w:br w:type="page"/>
      </w:r>
    </w:p>
    <w:p>
      <w:pPr>
        <w:pStyle w:val="Heading1"/>
      </w:pPr>
      <w:r>
        <w:rPr>
          <w:rFonts w:ascii="Times New Roman" w:cs="Times New Roman" w:eastAsia="Times New Roman" w:hAnsi="Times New Roman"/>
        </w:rPr>
        <w:t xml:space="preserve">1  Introduction</w:t>
      </w:r>
    </w:p>
    <w:p>
      <w:pPr>
        <w:pStyle w:val="Heading2"/>
      </w:pPr>
      <w:r>
        <w:rPr>
          <w:rFonts w:ascii="Times New Roman" w:cs="Times New Roman" w:eastAsia="Times New Roman" w:hAnsi="Times New Roman"/>
        </w:rPr>
        <w:t xml:space="preserve">1.1  Purpose</w:t>
      </w:r>
    </w:p>
    <w:p>
      <w:pPr>
        <w:spacing w:after="120"/>
      </w:pPr>
      <w:r>
        <w:rPr>
          <w:rFonts w:ascii="Times New Roman" w:cs="Times New Roman" w:eastAsia="Times New Roman" w:hAnsi="Times New Roman"/>
        </w:rPr>
        <w:t xml:space="preserve">The DBL Data Converter reads the data files of a DBL accounting system and writes their contents to spreadsheet files that open in Microsoft Excel, and to a single SQLite database. It allows the accounting records to be read, searched and retained after the original system has been retired, and provides a starting point for transferring them to another system.</w:t>
      </w:r>
    </w:p>
    <w:p>
      <w:pPr>
        <w:pStyle w:val="Heading2"/>
      </w:pPr>
      <w:r>
        <w:rPr>
          <w:rFonts w:ascii="Times New Roman" w:cs="Times New Roman" w:eastAsia="Times New Roman" w:hAnsi="Times New Roman"/>
        </w:rPr>
        <w:t xml:space="preserve">1.2  Scope</w:t>
      </w:r>
    </w:p>
    <w:p>
      <w:pPr>
        <w:spacing w:after="120"/>
      </w:pPr>
      <w:r>
        <w:rPr>
          <w:rFonts w:ascii="Times New Roman" w:cs="Times New Roman" w:eastAsia="Times New Roman" w:hAnsi="Times New Roman"/>
        </w:rPr>
        <w:t xml:space="preserve">The converter reads relative data files (extension .DDF) and sequential files unloaded from ISAM files (extension .SEQ). It interprets each file using the record layouts of the accounting system, which are built into the program; 339 layouts are included.</w:t>
      </w:r>
    </w:p>
    <w:p>
      <w:pPr>
        <w:spacing w:after="120"/>
      </w:pPr>
      <w:r>
        <w:rPr>
          <w:rFonts w:ascii="Times New Roman" w:cs="Times New Roman" w:eastAsia="Times New Roman" w:hAnsi="Times New Roman"/>
        </w:rPr>
        <w:t xml:space="preserve">The converter does not read ISAM files (.ISM, .IS1) directly; these must first be unloaded as described in section 4.3. It opens all source files read-only and does not modify them.</w:t>
      </w:r>
    </w:p>
    <w:p>
      <w:pPr>
        <w:pStyle w:val="Heading2"/>
      </w:pPr>
      <w:r>
        <w:rPr>
          <w:rFonts w:ascii="Times New Roman" w:cs="Times New Roman" w:eastAsia="Times New Roman" w:hAnsi="Times New Roman"/>
        </w:rPr>
        <w:t xml:space="preserve">1.3  Conventions</w:t>
      </w:r>
    </w:p>
    <w:p>
      <w:pPr>
        <w:spacing w:after="120"/>
      </w:pPr>
      <w:r>
        <w:rPr>
          <w:rFonts w:ascii="Times New Roman" w:cs="Times New Roman" w:eastAsia="Times New Roman" w:hAnsi="Times New Roman"/>
        </w:rPr>
        <w:t xml:space="preserve">Names of buttons, menus and fields in the program window are shown in </w:t>
      </w:r>
      <w:r>
        <w:rPr>
          <w:rFonts w:ascii="Times New Roman" w:cs="Times New Roman" w:eastAsia="Times New Roman" w:hAnsi="Times New Roman"/>
          <w:b/>
          <w:bCs/>
        </w:rPr>
        <w:t xml:space="preserve">bold</w:t>
      </w:r>
      <w:r>
        <w:rPr>
          <w:rFonts w:ascii="Times New Roman" w:cs="Times New Roman" w:eastAsia="Times New Roman" w:hAnsi="Times New Roman"/>
        </w:rPr>
        <w:t xml:space="preserve">. File and folder names are shown as they appear on screen, for example CONVERSION REPORT.txt.</w:t>
      </w:r>
    </w:p>
    <w:p>
      <w:pPr>
        <w:pStyle w:val="Heading1"/>
      </w:pPr>
      <w:r>
        <w:rPr>
          <w:rFonts w:ascii="Times New Roman" w:cs="Times New Roman" w:eastAsia="Times New Roman" w:hAnsi="Times New Roman"/>
        </w:rPr>
        <w:t xml:space="preserve">2  System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rPr>
              <w:t xml:space="preserve">Item</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rPr>
              <w:t xml:space="preserve">Requirement</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rPr>
              <w:t xml:space="preserve">Operating system</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rPr>
              <w:t xml:space="preserve">Windows 10 or Windows 11, 64-bit. Earlier versions of Windows, including Windows XP and Windows 7, are not supported.</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rPr>
              <w:t xml:space="preserve">Additional software</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rPr>
              <w:t xml:space="preserve">None. Microsoft Excel, or another spreadsheet program, is needed to view the output.</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rPr>
              <w:t xml:space="preserve">Disk space</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rPr>
              <w:t xml:space="preserve">20 MB for the program, and free space of at least twice the size of the source data folder.</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rPr>
              <w:t xml:space="preserve">User account</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rPr>
              <w:t xml:space="preserve">A standard user account. Administrator rights are not required.</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rPr>
              <w:t xml:space="preserve">Network</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rPr>
              <w:t xml:space="preserve">Not required. The program does not connect to the internet or to any other computer.</w:t>
            </w:r>
          </w:p>
        </w:tc>
      </w:tr>
    </w:tbl>
    <w:p>
      <w:pPr>
        <w:spacing w:after="120"/>
      </w:pPr>
    </w:p>
    <w:p>
      <w:pPr>
        <w:pStyle w:val="Heading1"/>
      </w:pPr>
      <w:r>
        <w:rPr>
          <w:rFonts w:ascii="Times New Roman" w:cs="Times New Roman" w:eastAsia="Times New Roman" w:hAnsi="Times New Roman"/>
        </w:rPr>
        <w:t xml:space="preserve">3  Installation</w:t>
      </w:r>
    </w:p>
    <w:p>
      <w:pPr>
        <w:pStyle w:val="Heading2"/>
      </w:pPr>
      <w:r>
        <w:rPr>
          <w:rFonts w:ascii="Times New Roman" w:cs="Times New Roman" w:eastAsia="Times New Roman" w:hAnsi="Times New Roman"/>
        </w:rPr>
        <w:t xml:space="preserve">3.1  Installing the program</w:t>
      </w:r>
    </w:p>
    <w:p>
      <w:pPr>
        <w:spacing w:after="120"/>
      </w:pPr>
      <w:r>
        <w:rPr>
          <w:rFonts w:ascii="Times New Roman" w:cs="Times New Roman" w:eastAsia="Times New Roman" w:hAnsi="Times New Roman"/>
        </w:rPr>
        <w:t xml:space="preserve">The program is supplied as a single file, </w:t>
      </w:r>
      <w:r>
        <w:rPr>
          <w:rFonts w:ascii="Times New Roman" w:cs="Times New Roman" w:eastAsia="Times New Roman" w:hAnsi="Times New Roman"/>
          <w:b/>
          <w:bCs/>
        </w:rPr>
        <w:t xml:space="preserve">DBL Data Converter.exe</w:t>
      </w:r>
      <w:r>
        <w:rPr>
          <w:rFonts w:ascii="Times New Roman" w:cs="Times New Roman" w:eastAsia="Times New Roman" w:hAnsi="Times New Roman"/>
        </w:rPr>
        <w:t xml:space="preserve">. No installer is required. Copy the file to a convenient location on the computer, such as the Desktop or a folder in Documents, and start it by double-clicking it.</w:t>
      </w:r>
    </w:p>
    <w:p>
      <w:pPr>
        <w:pStyle w:val="Heading2"/>
      </w:pPr>
      <w:r>
        <w:rPr>
          <w:rFonts w:ascii="Times New Roman" w:cs="Times New Roman" w:eastAsia="Times New Roman" w:hAnsi="Times New Roman"/>
        </w:rPr>
        <w:t xml:space="preserve">3.2  First start</w:t>
      </w:r>
    </w:p>
    <w:p>
      <w:pPr>
        <w:spacing w:after="120"/>
      </w:pPr>
      <w:r>
        <w:rPr>
          <w:rFonts w:ascii="Times New Roman" w:cs="Times New Roman" w:eastAsia="Times New Roman" w:hAnsi="Times New Roman"/>
        </w:rPr>
        <w:t xml:space="preserve">On the first start, Windows may display the message </w:t>
      </w:r>
      <w:r>
        <w:rPr>
          <w:rFonts w:ascii="Times New Roman" w:cs="Times New Roman" w:eastAsia="Times New Roman" w:hAnsi="Times New Roman"/>
          <w:b/>
          <w:bCs/>
        </w:rPr>
        <w:t xml:space="preserve">Windows protected your PC</w:t>
      </w:r>
      <w:r>
        <w:rPr>
          <w:rFonts w:ascii="Times New Roman" w:cs="Times New Roman" w:eastAsia="Times New Roman" w:hAnsi="Times New Roman"/>
        </w:rPr>
        <w:t xml:space="preserve">. This message appears for programs that have not been registered with Microsoft. To continue, select </w:t>
      </w:r>
      <w:r>
        <w:rPr>
          <w:rFonts w:ascii="Times New Roman" w:cs="Times New Roman" w:eastAsia="Times New Roman" w:hAnsi="Times New Roman"/>
          <w:b/>
          <w:bCs/>
        </w:rPr>
        <w:t xml:space="preserve">More info</w:t>
      </w:r>
      <w:r>
        <w:rPr>
          <w:rFonts w:ascii="Times New Roman" w:cs="Times New Roman" w:eastAsia="Times New Roman" w:hAnsi="Times New Roman"/>
        </w:rPr>
        <w:t xml:space="preserve"> and then </w:t>
      </w:r>
      <w:r>
        <w:rPr>
          <w:rFonts w:ascii="Times New Roman" w:cs="Times New Roman" w:eastAsia="Times New Roman" w:hAnsi="Times New Roman"/>
          <w:b/>
          <w:bCs/>
        </w:rPr>
        <w:t xml:space="preserve">Run anyway</w:t>
      </w:r>
      <w:r>
        <w:rPr>
          <w:rFonts w:ascii="Times New Roman" w:cs="Times New Roman" w:eastAsia="Times New Roman" w:hAnsi="Times New Roman"/>
        </w:rPr>
        <w:t xml:space="preserve">. The message does not appear on later starts.</w:t>
      </w:r>
    </w:p>
    <w:p>
      <w:pPr>
        <w:pStyle w:val="Heading2"/>
      </w:pPr>
      <w:r>
        <w:rPr>
          <w:rFonts w:ascii="Times New Roman" w:cs="Times New Roman" w:eastAsia="Times New Roman" w:hAnsi="Times New Roman"/>
        </w:rPr>
        <w:t xml:space="preserve">3.3  Removing the program</w:t>
      </w:r>
    </w:p>
    <w:p>
      <w:pPr>
        <w:spacing w:after="120"/>
      </w:pPr>
      <w:r>
        <w:rPr>
          <w:rFonts w:ascii="Times New Roman" w:cs="Times New Roman" w:eastAsia="Times New Roman" w:hAnsi="Times New Roman"/>
        </w:rPr>
        <w:t xml:space="preserve">Delete the file DBL Data Converter.exe. The program makes no other changes to the computer.</w:t>
      </w:r>
    </w:p>
    <w:p>
      <w:pPr>
        <w:pStyle w:val="Heading1"/>
      </w:pPr>
      <w:r>
        <w:rPr>
          <w:rFonts w:ascii="Times New Roman" w:cs="Times New Roman" w:eastAsia="Times New Roman" w:hAnsi="Times New Roman"/>
        </w:rPr>
        <w:t xml:space="preserve">4  Preparing the Data</w:t>
      </w:r>
    </w:p>
    <w:p>
      <w:pPr>
        <w:pStyle w:val="Heading2"/>
      </w:pPr>
      <w:r>
        <w:rPr>
          <w:rFonts w:ascii="Times New Roman" w:cs="Times New Roman" w:eastAsia="Times New Roman" w:hAnsi="Times New Roman"/>
        </w:rPr>
        <w:t xml:space="preserve">4.1  Copying the data folder</w:t>
      </w:r>
    </w:p>
    <w:p>
      <w:pPr>
        <w:spacing w:after="120"/>
      </w:pPr>
      <w:r>
        <w:rPr>
          <w:rFonts w:ascii="Times New Roman" w:cs="Times New Roman" w:eastAsia="Times New Roman" w:hAnsi="Times New Roman"/>
        </w:rPr>
        <w:t xml:space="preserve">The converter must always be used on a copy of the data, never on the folder used by the accounting system. Copy the complete data folder from the computer that runs the accounting system to the computer on which the converter will be used, by means of a USB drive or a shared network folder.</w:t>
      </w:r>
    </w:p>
    <w:p>
      <w:pPr>
        <w:pBdr>
          <w:left w:val="single" w:color="000000" w:sz="12" w:space="8"/>
        </w:pBdr>
        <w:spacing w:after="160" w:before="60"/>
        <w:ind w:left="360"/>
      </w:pPr>
      <w:r>
        <w:rPr>
          <w:rFonts w:ascii="Times New Roman" w:cs="Times New Roman" w:eastAsia="Times New Roman" w:hAnsi="Times New Roman"/>
          <w:b/>
          <w:bCs/>
        </w:rPr>
        <w:t xml:space="preserve">Important:  </w:t>
      </w:r>
      <w:r>
        <w:rPr>
          <w:rFonts w:ascii="Times New Roman" w:cs="Times New Roman" w:eastAsia="Times New Roman" w:hAnsi="Times New Roman"/>
        </w:rPr>
        <w:t xml:space="preserve">Make the copy while the accounting system is not in use, so that no file is being changed during copying. Keep the original folder unchanged until the converted data has been verified as described in section 7.</w:t>
      </w:r>
    </w:p>
    <w:p>
      <w:pPr>
        <w:pStyle w:val="Heading2"/>
      </w:pPr>
      <w:r>
        <w:rPr>
          <w:rFonts w:ascii="Times New Roman" w:cs="Times New Roman" w:eastAsia="Times New Roman" w:hAnsi="Times New Roman"/>
        </w:rPr>
        <w:t xml:space="preserve">4.2  Files the converter reads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rPr>
              <w:t xml:space="preserve">Extension</w:t>
            </w:r>
          </w:p>
        </w:tc>
        <w:tc>
          <w:tcPr>
            <w:tcW w:type="dxa" w:w="73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rPr>
              <w:t xml:space="preserve">Treatment</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rPr>
              <w:t xml:space="preserve">.DDF</w:t>
            </w:r>
          </w:p>
        </w:tc>
        <w:tc>
          <w:tcPr>
            <w:tcW w:type="dxa" w:w="73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rPr>
              <w:t xml:space="preserve">Relative data files. Converted directly. Record 1 is the file's control record (see section 6.3).</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rPr>
              <w:t xml:space="preserve">.SEQ</w:t>
            </w:r>
          </w:p>
        </w:tc>
        <w:tc>
          <w:tcPr>
            <w:tcW w:type="dxa" w:w="73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rPr>
              <w:t xml:space="preserve">Sequential files unloaded from ISAM files (see section 4.3). Converted directly; every record is data.</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rPr>
              <w:t xml:space="preserve">.ISM, .IS1</w:t>
            </w:r>
          </w:p>
        </w:tc>
        <w:tc>
          <w:tcPr>
            <w:tcW w:type="dxa" w:w="73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rPr>
              <w:t xml:space="preserve">ISAM files. Not read; listed in the conversion report until an unloaded .SEQ file is supplied.</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rPr>
              <w:t xml:space="preserve">Other</w:t>
            </w:r>
          </w:p>
        </w:tc>
        <w:tc>
          <w:tcPr>
            <w:tcW w:type="dxa" w:w="73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rPr>
              <w:t xml:space="preserve">Ignored.</w:t>
            </w:r>
          </w:p>
        </w:tc>
      </w:tr>
    </w:tbl>
    <w:p>
      <w:pPr>
        <w:spacing w:after="120"/>
      </w:pPr>
    </w:p>
    <w:p>
      <w:pPr>
        <w:pStyle w:val="Heading2"/>
      </w:pPr>
      <w:r>
        <w:rPr>
          <w:rFonts w:ascii="Times New Roman" w:cs="Times New Roman" w:eastAsia="Times New Roman" w:hAnsi="Times New Roman"/>
        </w:rPr>
        <w:t xml:space="preserve">4.3  Unloading ISAM files</w:t>
      </w:r>
    </w:p>
    <w:p>
      <w:pPr>
        <w:spacing w:after="120"/>
      </w:pPr>
      <w:r>
        <w:rPr>
          <w:rFonts w:ascii="Times New Roman" w:cs="Times New Roman" w:eastAsia="Times New Roman" w:hAnsi="Times New Roman"/>
        </w:rPr>
        <w:t xml:space="preserve">ISAM files store records in an indexed format that the converter cannot read directly. Each ISAM file must be unloaded to a sequential file with the </w:t>
      </w:r>
      <w:r>
        <w:rPr>
          <w:rFonts w:ascii="Times New Roman" w:cs="Times New Roman" w:eastAsia="Times New Roman" w:hAnsi="Times New Roman"/>
          <w:b/>
          <w:bCs/>
        </w:rPr>
        <w:t xml:space="preserve">ISLOAD</w:t>
      </w:r>
      <w:r>
        <w:rPr>
          <w:rFonts w:ascii="Times New Roman" w:cs="Times New Roman" w:eastAsia="Times New Roman" w:hAnsi="Times New Roman"/>
        </w:rPr>
        <w:t xml:space="preserve"> utility of the accounting system, on the computer that runs it. Refer to the documentation of the accounting system for the operation of ISLOAD.</w:t>
      </w:r>
    </w:p>
    <w:p>
      <w:pPr>
        <w:spacing w:after="120"/>
      </w:pPr>
      <w:r>
        <w:rPr>
          <w:rFonts w:ascii="Times New Roman" w:cs="Times New Roman" w:eastAsia="Times New Roman" w:hAnsi="Times New Roman"/>
        </w:rPr>
        <w:t xml:space="preserve">Give each unloaded file the same name as the ISAM file, with the extension .SEQ. For example, AR01ARCU.ISM is unloaded to AR01ARCU.SEQ. Place the .SEQ files in the copied data folder before running the conversion.</w:t>
      </w:r>
    </w:p>
    <w:p>
      <w:pPr>
        <w:pStyle w:val="Heading1"/>
      </w:pPr>
      <w:r>
        <w:rPr>
          <w:rFonts w:ascii="Times New Roman" w:cs="Times New Roman" w:eastAsia="Times New Roman" w:hAnsi="Times New Roman"/>
        </w:rPr>
        <w:t xml:space="preserve">5  Converting the Data</w:t>
      </w:r>
    </w:p>
    <w:p>
      <w:pPr>
        <w:pStyle w:val="Heading2"/>
      </w:pPr>
      <w:r>
        <w:rPr>
          <w:rFonts w:ascii="Times New Roman" w:cs="Times New Roman" w:eastAsia="Times New Roman" w:hAnsi="Times New Roman"/>
        </w:rPr>
        <w:t xml:space="preserve">5.1  The program 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rPr>
              <w:t xml:space="preserve">Control</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rPr>
              <w:t xml:space="preserve">Function</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rPr>
              <w:t xml:space="preserve">Source data folder</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rPr>
              <w:t xml:space="preserve">The folder that contains the copied data files. The number of data files found is shown beneath it.</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rPr>
              <w:t xml:space="preserve">Output folder</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rPr>
              <w:t xml:space="preserve">The folder in which the results are saved. A folder name is proposed automatically next to the source folder.</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rPr>
              <w:t xml:space="preserve">Convert</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rPr>
              <w:t xml:space="preserve">Starts the conversion.</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rPr>
              <w:t xml:space="preserve">View Report</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rPr>
              <w:t xml:space="preserve">Opens the conversion report once a conversion has finished.</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rPr>
              <w:t xml:space="preserve">Open Output Folder</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rPr>
              <w:t xml:space="preserve">Opens the output folder in File Explorer.</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rPr>
              <w:t xml:space="preserve">Activity</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rPr>
              <w:t xml:space="preserve">Lists each file as it is converted.</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rPr>
              <w:t xml:space="preserve">Help</w:t>
            </w:r>
            <w:r>
              <w:rPr>
                <w:rFonts w:ascii="Times New Roman" w:cs="Times New Roman" w:eastAsia="Times New Roman" w:hAnsi="Times New Roman"/>
              </w:rPr>
              <w:t xml:space="preserve"> menu</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rPr>
              <w:t xml:space="preserve">Opens this guide and shows the program version.</w:t>
            </w:r>
          </w:p>
        </w:tc>
      </w:tr>
    </w:tbl>
    <w:p>
      <w:pPr>
        <w:spacing w:after="120"/>
      </w:pPr>
    </w:p>
    <w:p>
      <w:pPr>
        <w:pStyle w:val="Heading2"/>
      </w:pPr>
      <w:r>
        <w:rPr>
          <w:rFonts w:ascii="Times New Roman" w:cs="Times New Roman" w:eastAsia="Times New Roman" w:hAnsi="Times New Roman"/>
        </w:rPr>
        <w:t xml:space="preserve">5.2  Procedure</w:t>
      </w:r>
    </w:p>
    <w:p>
      <w:pPr>
        <w:pStyle w:val="ListParagraph"/>
        <w:numPr>
          <w:ilvl w:val="0"/>
          <w:numId w:val="2"/>
        </w:numPr>
        <w:spacing w:after="80"/>
      </w:pPr>
      <w:r>
        <w:rPr>
          <w:rFonts w:ascii="Times New Roman" w:cs="Times New Roman" w:eastAsia="Times New Roman" w:hAnsi="Times New Roman"/>
        </w:rPr>
        <w:t xml:space="preserve">Start </w:t>
      </w:r>
      <w:r>
        <w:rPr>
          <w:rFonts w:ascii="Times New Roman" w:cs="Times New Roman" w:eastAsia="Times New Roman" w:hAnsi="Times New Roman"/>
          <w:b/>
          <w:bCs/>
        </w:rPr>
        <w:t xml:space="preserve">DBL Data Converter</w:t>
      </w:r>
      <w:r>
        <w:rPr>
          <w:rFonts w:ascii="Times New Roman" w:cs="Times New Roman" w:eastAsia="Times New Roman" w:hAnsi="Times New Roman"/>
        </w:rPr>
        <w:t xml:space="preserve">.</w:t>
      </w:r>
    </w:p>
    <w:p>
      <w:pPr>
        <w:pStyle w:val="ListParagraph"/>
        <w:numPr>
          <w:ilvl w:val="0"/>
          <w:numId w:val="2"/>
        </w:numPr>
        <w:spacing w:after="80"/>
      </w:pPr>
      <w:r>
        <w:rPr>
          <w:rFonts w:ascii="Times New Roman" w:cs="Times New Roman" w:eastAsia="Times New Roman" w:hAnsi="Times New Roman"/>
        </w:rPr>
        <w:t xml:space="preserve">Next to </w:t>
      </w:r>
      <w:r>
        <w:rPr>
          <w:rFonts w:ascii="Times New Roman" w:cs="Times New Roman" w:eastAsia="Times New Roman" w:hAnsi="Times New Roman"/>
          <w:b/>
          <w:bCs/>
        </w:rPr>
        <w:t xml:space="preserve">Source data folder</w:t>
      </w:r>
      <w:r>
        <w:rPr>
          <w:rFonts w:ascii="Times New Roman" w:cs="Times New Roman" w:eastAsia="Times New Roman" w:hAnsi="Times New Roman"/>
        </w:rPr>
        <w:t xml:space="preserve">, select </w:t>
      </w:r>
      <w:r>
        <w:rPr>
          <w:rFonts w:ascii="Times New Roman" w:cs="Times New Roman" w:eastAsia="Times New Roman" w:hAnsi="Times New Roman"/>
          <w:b/>
          <w:bCs/>
        </w:rPr>
        <w:t xml:space="preserve">Browse…</w:t>
      </w:r>
      <w:r>
        <w:rPr>
          <w:rFonts w:ascii="Times New Roman" w:cs="Times New Roman" w:eastAsia="Times New Roman" w:hAnsi="Times New Roman"/>
        </w:rPr>
        <w:t xml:space="preserve"> and choose the copied data folder. Check that the number of data files shown beneath the field is as expected.</w:t>
      </w:r>
    </w:p>
    <w:p>
      <w:pPr>
        <w:pStyle w:val="ListParagraph"/>
        <w:numPr>
          <w:ilvl w:val="0"/>
          <w:numId w:val="2"/>
        </w:numPr>
        <w:spacing w:after="80"/>
      </w:pPr>
      <w:r>
        <w:rPr>
          <w:rFonts w:ascii="Times New Roman" w:cs="Times New Roman" w:eastAsia="Times New Roman" w:hAnsi="Times New Roman"/>
        </w:rPr>
        <w:t xml:space="preserve">Check the </w:t>
      </w:r>
      <w:r>
        <w:rPr>
          <w:rFonts w:ascii="Times New Roman" w:cs="Times New Roman" w:eastAsia="Times New Roman" w:hAnsi="Times New Roman"/>
          <w:b/>
          <w:bCs/>
        </w:rPr>
        <w:t xml:space="preserve">Output folder</w:t>
      </w:r>
      <w:r>
        <w:rPr>
          <w:rFonts w:ascii="Times New Roman" w:cs="Times New Roman" w:eastAsia="Times New Roman" w:hAnsi="Times New Roman"/>
        </w:rPr>
        <w:t xml:space="preserve">. To save the results elsewhere, select </w:t>
      </w:r>
      <w:r>
        <w:rPr>
          <w:rFonts w:ascii="Times New Roman" w:cs="Times New Roman" w:eastAsia="Times New Roman" w:hAnsi="Times New Roman"/>
          <w:b/>
          <w:bCs/>
        </w:rPr>
        <w:t xml:space="preserve">Browse…</w:t>
      </w:r>
      <w:r>
        <w:rPr>
          <w:rFonts w:ascii="Times New Roman" w:cs="Times New Roman" w:eastAsia="Times New Roman" w:hAnsi="Times New Roman"/>
        </w:rPr>
        <w:t xml:space="preserve"> and choose another folder. The output folder must not be inside the source data folder.</w:t>
      </w:r>
    </w:p>
    <w:p>
      <w:pPr>
        <w:pStyle w:val="ListParagraph"/>
        <w:numPr>
          <w:ilvl w:val="0"/>
          <w:numId w:val="2"/>
        </w:numPr>
        <w:spacing w:after="80"/>
      </w:pPr>
      <w:r>
        <w:rPr>
          <w:rFonts w:ascii="Times New Roman" w:cs="Times New Roman" w:eastAsia="Times New Roman" w:hAnsi="Times New Roman"/>
        </w:rPr>
        <w:t xml:space="preserve">Select </w:t>
      </w:r>
      <w:r>
        <w:rPr>
          <w:rFonts w:ascii="Times New Roman" w:cs="Times New Roman" w:eastAsia="Times New Roman" w:hAnsi="Times New Roman"/>
          <w:b/>
          <w:bCs/>
        </w:rPr>
        <w:t xml:space="preserve">Convert</w:t>
      </w:r>
      <w:r>
        <w:rPr>
          <w:rFonts w:ascii="Times New Roman" w:cs="Times New Roman" w:eastAsia="Times New Roman" w:hAnsi="Times New Roman"/>
        </w:rPr>
        <w:t xml:space="preserve">. Progress is shown in the progress bar and in the </w:t>
      </w:r>
      <w:r>
        <w:rPr>
          <w:rFonts w:ascii="Times New Roman" w:cs="Times New Roman" w:eastAsia="Times New Roman" w:hAnsi="Times New Roman"/>
          <w:b/>
          <w:bCs/>
        </w:rPr>
        <w:t xml:space="preserve">Activity</w:t>
      </w:r>
      <w:r>
        <w:rPr>
          <w:rFonts w:ascii="Times New Roman" w:cs="Times New Roman" w:eastAsia="Times New Roman" w:hAnsi="Times New Roman"/>
        </w:rPr>
        <w:t xml:space="preserve"> list.</w:t>
      </w:r>
    </w:p>
    <w:p>
      <w:pPr>
        <w:pStyle w:val="ListParagraph"/>
        <w:numPr>
          <w:ilvl w:val="0"/>
          <w:numId w:val="2"/>
        </w:numPr>
        <w:spacing w:after="80"/>
      </w:pPr>
      <w:r>
        <w:rPr>
          <w:rFonts w:ascii="Times New Roman" w:cs="Times New Roman" w:eastAsia="Times New Roman" w:hAnsi="Times New Roman"/>
        </w:rPr>
        <w:t xml:space="preserve">When the conversion is complete, a summary is displayed. Select </w:t>
      </w:r>
      <w:r>
        <w:rPr>
          <w:rFonts w:ascii="Times New Roman" w:cs="Times New Roman" w:eastAsia="Times New Roman" w:hAnsi="Times New Roman"/>
          <w:b/>
          <w:bCs/>
        </w:rPr>
        <w:t xml:space="preserve">Yes</w:t>
      </w:r>
      <w:r>
        <w:rPr>
          <w:rFonts w:ascii="Times New Roman" w:cs="Times New Roman" w:eastAsia="Times New Roman" w:hAnsi="Times New Roman"/>
        </w:rPr>
        <w:t xml:space="preserve"> to open the conversion report.</w:t>
      </w:r>
    </w:p>
    <w:p>
      <w:pPr>
        <w:pStyle w:val="ListParagraph"/>
        <w:numPr>
          <w:ilvl w:val="0"/>
          <w:numId w:val="2"/>
        </w:numPr>
        <w:spacing w:after="80"/>
      </w:pPr>
      <w:r>
        <w:rPr>
          <w:rFonts w:ascii="Times New Roman" w:cs="Times New Roman" w:eastAsia="Times New Roman" w:hAnsi="Times New Roman"/>
        </w:rPr>
        <w:t xml:space="preserve">Read the conversion report and carry out the checks in section 7.</w:t>
      </w:r>
    </w:p>
    <w:p>
      <w:pPr>
        <w:pBdr>
          <w:left w:val="single" w:color="000000" w:sz="12" w:space="8"/>
        </w:pBdr>
        <w:spacing w:after="160" w:before="60"/>
        <w:ind w:left="360"/>
      </w:pPr>
      <w:r>
        <w:rPr>
          <w:rFonts w:ascii="Times New Roman" w:cs="Times New Roman" w:eastAsia="Times New Roman" w:hAnsi="Times New Roman"/>
          <w:b/>
          <w:bCs/>
        </w:rPr>
        <w:t xml:space="preserve">Note:  </w:t>
      </w:r>
      <w:r>
        <w:rPr>
          <w:rFonts w:ascii="Times New Roman" w:cs="Times New Roman" w:eastAsia="Times New Roman" w:hAnsi="Times New Roman"/>
        </w:rPr>
        <w:t xml:space="preserve">If the output folder already contains the results of an earlier conversion, the program asks for confirmation before replacing them. Converting the same data again produces the same results.</w:t>
      </w:r>
    </w:p>
    <w:p>
      <w:pPr>
        <w:pStyle w:val="Heading1"/>
      </w:pPr>
      <w:r>
        <w:rPr>
          <w:rFonts w:ascii="Times New Roman" w:cs="Times New Roman" w:eastAsia="Times New Roman" w:hAnsi="Times New Roman"/>
        </w:rPr>
        <w:t xml:space="preserve">6  Output</w:t>
      </w:r>
    </w:p>
    <w:p>
      <w:pPr>
        <w:pStyle w:val="Heading2"/>
      </w:pPr>
      <w:r>
        <w:rPr>
          <w:rFonts w:ascii="Times New Roman" w:cs="Times New Roman" w:eastAsia="Times New Roman" w:hAnsi="Times New Roman"/>
        </w:rPr>
        <w:t xml:space="preserve">6.1  Contents of the output 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rPr>
              <w:t xml:space="preserve">Item</w:t>
            </w:r>
          </w:p>
        </w:tc>
        <w:tc>
          <w:tcPr>
            <w:tcW w:type="dxa" w:w="63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rPr>
              <w:t xml:space="preserve">Contents</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rPr>
              <w:t xml:space="preserve">CONVERSION REPORT.txt</w:t>
            </w:r>
          </w:p>
        </w:tc>
        <w:tc>
          <w:tcPr>
            <w:tcW w:type="dxa" w:w="63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rPr>
              <w:t xml:space="preserve">A record of the conversion: the files converted, the number of records in each, any files not converted and the reason, and the checks required.</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rPr>
              <w:t xml:space="preserve">Spreadsheets (CSV)</w:t>
            </w:r>
          </w:p>
        </w:tc>
        <w:tc>
          <w:tcPr>
            <w:tcW w:type="dxa" w:w="63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rPr>
              <w:t xml:space="preserve">A folder containing one spreadsheet file (.csv) for each converted data file, named after the data file. Each row is one record; the first column, _record, is the record's position in the original file.</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rPr>
              <w:t xml:space="preserve">_conversion_errors.csv</w:t>
            </w:r>
          </w:p>
        </w:tc>
        <w:tc>
          <w:tcPr>
            <w:tcW w:type="dxa" w:w="63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rPr>
              <w:t xml:space="preserve">In the Spreadsheets (CSV) folder. Lists any field that could not be read, with its original contents. Such fields are left blank in the spreadsheets.</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rPr>
              <w:t xml:space="preserve">converted.sqlite</w:t>
            </w:r>
          </w:p>
        </w:tc>
        <w:tc>
          <w:tcPr>
            <w:tcW w:type="dxa" w:w="63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rPr>
              <w:t xml:space="preserve">A single SQLite database containing every converted table, for use when transferring the data to another system.</w:t>
            </w:r>
          </w:p>
        </w:tc>
      </w:tr>
    </w:tbl>
    <w:p>
      <w:pPr>
        <w:spacing w:after="120"/>
      </w:pPr>
    </w:p>
    <w:p>
      <w:pPr>
        <w:pStyle w:val="Heading2"/>
      </w:pPr>
      <w:r>
        <w:rPr>
          <w:rFonts w:ascii="Times New Roman" w:cs="Times New Roman" w:eastAsia="Times New Roman" w:hAnsi="Times New Roman"/>
        </w:rPr>
        <w:t xml:space="preserve">6.2  Opening the spreadsheets in Excel</w:t>
      </w:r>
    </w:p>
    <w:p>
      <w:pPr>
        <w:spacing w:after="120"/>
      </w:pPr>
      <w:r>
        <w:rPr>
          <w:rFonts w:ascii="Times New Roman" w:cs="Times New Roman" w:eastAsia="Times New Roman" w:hAnsi="Times New Roman"/>
        </w:rPr>
        <w:t xml:space="preserve">Double-click a .csv file to open it in Excel. On opening, Excel reformats certain values for display: account and reference numbers may lose leading zeros (00123 is shown as 123), and long numbers may be shown in scientific notation (1.23E+11). The values stored in the .csv file are unaffected.</w:t>
      </w:r>
    </w:p>
    <w:p>
      <w:pPr>
        <w:spacing w:after="120"/>
      </w:pPr>
      <w:r>
        <w:rPr>
          <w:rFonts w:ascii="Times New Roman" w:cs="Times New Roman" w:eastAsia="Times New Roman" w:hAnsi="Times New Roman"/>
        </w:rPr>
        <w:t xml:space="preserve">To keep such values exactly as stored, open Excel first, select </w:t>
      </w:r>
      <w:r>
        <w:rPr>
          <w:rFonts w:ascii="Times New Roman" w:cs="Times New Roman" w:eastAsia="Times New Roman" w:hAnsi="Times New Roman"/>
          <w:b/>
          <w:bCs/>
        </w:rPr>
        <w:t xml:space="preserve">Data</w:t>
      </w:r>
      <w:r>
        <w:rPr>
          <w:rFonts w:ascii="Times New Roman" w:cs="Times New Roman" w:eastAsia="Times New Roman" w:hAnsi="Times New Roman"/>
        </w:rPr>
        <w:t xml:space="preserve">, then </w:t>
      </w:r>
      <w:r>
        <w:rPr>
          <w:rFonts w:ascii="Times New Roman" w:cs="Times New Roman" w:eastAsia="Times New Roman" w:hAnsi="Times New Roman"/>
          <w:b/>
          <w:bCs/>
        </w:rPr>
        <w:t xml:space="preserve">From Text/CSV</w:t>
      </w:r>
      <w:r>
        <w:rPr>
          <w:rFonts w:ascii="Times New Roman" w:cs="Times New Roman" w:eastAsia="Times New Roman" w:hAnsi="Times New Roman"/>
        </w:rPr>
        <w:t xml:space="preserve">, choose the file, select </w:t>
      </w:r>
      <w:r>
        <w:rPr>
          <w:rFonts w:ascii="Times New Roman" w:cs="Times New Roman" w:eastAsia="Times New Roman" w:hAnsi="Times New Roman"/>
          <w:b/>
          <w:bCs/>
        </w:rPr>
        <w:t xml:space="preserve">Transform Data</w:t>
      </w:r>
      <w:r>
        <w:rPr>
          <w:rFonts w:ascii="Times New Roman" w:cs="Times New Roman" w:eastAsia="Times New Roman" w:hAnsi="Times New Roman"/>
        </w:rPr>
        <w:t xml:space="preserve">, and set the type of the affected columns to </w:t>
      </w:r>
      <w:r>
        <w:rPr>
          <w:rFonts w:ascii="Times New Roman" w:cs="Times New Roman" w:eastAsia="Times New Roman" w:hAnsi="Times New Roman"/>
          <w:b/>
          <w:bCs/>
        </w:rPr>
        <w:t xml:space="preserve">Text</w:t>
      </w:r>
      <w:r>
        <w:rPr>
          <w:rFonts w:ascii="Times New Roman" w:cs="Times New Roman" w:eastAsia="Times New Roman" w:hAnsi="Times New Roman"/>
        </w:rPr>
        <w:t xml:space="preserve">.</w:t>
      </w:r>
    </w:p>
    <w:p>
      <w:pPr>
        <w:pBdr>
          <w:left w:val="single" w:color="000000" w:sz="12" w:space="8"/>
        </w:pBdr>
        <w:spacing w:after="160" w:before="60"/>
        <w:ind w:left="360"/>
      </w:pPr>
      <w:r>
        <w:rPr>
          <w:rFonts w:ascii="Times New Roman" w:cs="Times New Roman" w:eastAsia="Times New Roman" w:hAnsi="Times New Roman"/>
          <w:b/>
          <w:bCs/>
        </w:rPr>
        <w:t xml:space="preserve">Important:  </w:t>
      </w:r>
      <w:r>
        <w:rPr>
          <w:rFonts w:ascii="Times New Roman" w:cs="Times New Roman" w:eastAsia="Times New Roman" w:hAnsi="Times New Roman"/>
        </w:rPr>
        <w:t xml:space="preserve">Do not save changes over the original .csv files. To keep an edited copy, use </w:t>
      </w:r>
      <w:r>
        <w:rPr>
          <w:rFonts w:ascii="Times New Roman" w:cs="Times New Roman" w:eastAsia="Times New Roman" w:hAnsi="Times New Roman"/>
          <w:b/>
          <w:bCs/>
        </w:rPr>
        <w:t xml:space="preserve">Save As</w:t>
      </w:r>
      <w:r>
        <w:rPr>
          <w:rFonts w:ascii="Times New Roman" w:cs="Times New Roman" w:eastAsia="Times New Roman" w:hAnsi="Times New Roman"/>
        </w:rPr>
        <w:t xml:space="preserve"> and choose the Excel Workbook (.xlsx) format.</w:t>
      </w:r>
    </w:p>
    <w:p>
      <w:pPr>
        <w:pStyle w:val="Heading2"/>
      </w:pPr>
      <w:r>
        <w:rPr>
          <w:rFonts w:ascii="Times New Roman" w:cs="Times New Roman" w:eastAsia="Times New Roman" w:hAnsi="Times New Roman"/>
        </w:rPr>
        <w:t xml:space="preserve">6.3  Control records</w:t>
      </w:r>
    </w:p>
    <w:p>
      <w:pPr>
        <w:spacing w:after="120"/>
      </w:pPr>
      <w:r>
        <w:rPr>
          <w:rFonts w:ascii="Times New Roman" w:cs="Times New Roman" w:eastAsia="Times New Roman" w:hAnsi="Times New Roman"/>
        </w:rPr>
        <w:t xml:space="preserve">The first record of each relative data file (.DDF) is a control record used internally by the accounting system, for example to hold the number of records in use. It is not included in the spreadsheets. It is kept unchanged in the _control_records table of converted.sqlite.</w:t>
      </w:r>
    </w:p>
    <w:p>
      <w:pPr>
        <w:pStyle w:val="Heading2"/>
      </w:pPr>
      <w:r>
        <w:rPr>
          <w:rFonts w:ascii="Times New Roman" w:cs="Times New Roman" w:eastAsia="Times New Roman" w:hAnsi="Times New Roman"/>
        </w:rPr>
        <w:t xml:space="preserve">6.4  Amounts and decimal places</w:t>
      </w:r>
    </w:p>
    <w:p>
      <w:pPr>
        <w:spacing w:after="120"/>
      </w:pPr>
      <w:r>
        <w:rPr>
          <w:rFonts w:ascii="Times New Roman" w:cs="Times New Roman" w:eastAsia="Times New Roman" w:hAnsi="Times New Roman"/>
        </w:rPr>
        <w:t xml:space="preserve">Amounts are stored exactly as recorded, with the decimal point placed according to the record layout (for example 1234.56). No rounding takes place.</w:t>
      </w:r>
    </w:p>
    <w:p>
      <w:pPr>
        <w:pStyle w:val="Heading1"/>
      </w:pPr>
      <w:r>
        <w:rPr>
          <w:rFonts w:ascii="Times New Roman" w:cs="Times New Roman" w:eastAsia="Times New Roman" w:hAnsi="Times New Roman"/>
        </w:rPr>
        <w:t xml:space="preserve">7  Verifying the Results</w:t>
      </w:r>
    </w:p>
    <w:p>
      <w:pPr>
        <w:spacing w:after="120"/>
      </w:pPr>
      <w:r>
        <w:rPr>
          <w:rFonts w:ascii="Times New Roman" w:cs="Times New Roman" w:eastAsia="Times New Roman" w:hAnsi="Times New Roman"/>
        </w:rPr>
        <w:t xml:space="preserve">Before the converted data is relied upon, it must be compared with reports printed from the accounting system. The following checks are recommended:</w:t>
      </w:r>
    </w:p>
    <w:p>
      <w:pPr>
        <w:pStyle w:val="ListParagraph"/>
        <w:numPr>
          <w:ilvl w:val="0"/>
          <w:numId w:val="3"/>
        </w:numPr>
        <w:spacing w:after="60"/>
      </w:pPr>
      <w:r>
        <w:rPr>
          <w:rFonts w:ascii="Times New Roman" w:cs="Times New Roman" w:eastAsia="Times New Roman" w:hAnsi="Times New Roman"/>
        </w:rPr>
        <w:t xml:space="preserve">The number of customers, vendors and employees matches the corresponding listing reports.</w:t>
      </w:r>
    </w:p>
    <w:p>
      <w:pPr>
        <w:pStyle w:val="ListParagraph"/>
        <w:numPr>
          <w:ilvl w:val="0"/>
          <w:numId w:val="3"/>
        </w:numPr>
        <w:spacing w:after="60"/>
      </w:pPr>
      <w:r>
        <w:rPr>
          <w:rFonts w:ascii="Times New Roman" w:cs="Times New Roman" w:eastAsia="Times New Roman" w:hAnsi="Times New Roman"/>
        </w:rPr>
        <w:t xml:space="preserve">The total of open receivables and payables matches the aged trial balance reports.</w:t>
      </w:r>
    </w:p>
    <w:p>
      <w:pPr>
        <w:pStyle w:val="ListParagraph"/>
        <w:numPr>
          <w:ilvl w:val="0"/>
          <w:numId w:val="3"/>
        </w:numPr>
        <w:spacing w:after="60"/>
      </w:pPr>
      <w:r>
        <w:rPr>
          <w:rFonts w:ascii="Times New Roman" w:cs="Times New Roman" w:eastAsia="Times New Roman" w:hAnsi="Times New Roman"/>
        </w:rPr>
        <w:t xml:space="preserve">The general ledger account balances match the trial balance for the same period.</w:t>
      </w:r>
    </w:p>
    <w:p>
      <w:pPr>
        <w:pStyle w:val="ListParagraph"/>
        <w:numPr>
          <w:ilvl w:val="0"/>
          <w:numId w:val="3"/>
        </w:numPr>
        <w:spacing w:after="60"/>
      </w:pPr>
      <w:r>
        <w:rPr>
          <w:rFonts w:ascii="Times New Roman" w:cs="Times New Roman" w:eastAsia="Times New Roman" w:hAnsi="Times New Roman"/>
        </w:rPr>
        <w:t xml:space="preserve">A sample of individual records, such as several customers and invoices chosen at random, matches the printed detail in every field.</w:t>
      </w:r>
    </w:p>
    <w:p>
      <w:pPr>
        <w:spacing w:after="120"/>
      </w:pPr>
      <w:r>
        <w:rPr>
          <w:rFonts w:ascii="Times New Roman" w:cs="Times New Roman" w:eastAsia="Times New Roman" w:hAnsi="Times New Roman"/>
        </w:rPr>
        <w:t xml:space="preserve">Section 2 of the conversion report lists further checks for the particular conversion, including any file marked </w:t>
      </w:r>
      <w:r>
        <w:rPr>
          <w:rFonts w:ascii="Times New Roman" w:cs="Times New Roman" w:eastAsia="Times New Roman" w:hAnsi="Times New Roman"/>
          <w:b/>
          <w:bCs/>
        </w:rPr>
        <w:t xml:space="preserve">[CHECK LAYOUT]</w:t>
      </w:r>
      <w:r>
        <w:rPr>
          <w:rFonts w:ascii="Times New Roman" w:cs="Times New Roman" w:eastAsia="Times New Roman" w:hAnsi="Times New Roman"/>
        </w:rPr>
        <w:t xml:space="preserve">. Keep the conversion report with the converted data as a record of the conversion.</w:t>
      </w:r>
    </w:p>
    <w:p>
      <w:pPr>
        <w:pStyle w:val="Heading1"/>
      </w:pPr>
      <w:r>
        <w:rPr>
          <w:rFonts w:ascii="Times New Roman" w:cs="Times New Roman" w:eastAsia="Times New Roman" w:hAnsi="Times New Roman"/>
        </w:rPr>
        <w:t xml:space="preserve">8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900"/>
        <w:gridCol w:w="3760"/>
      </w:tblGrid>
      <w:tr>
        <w:trPr>
          <w:tblHeader/>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rPr>
              <w:t xml:space="preserve">Message or condition</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rPr>
              <w:t xml:space="preserve">Cause</w:t>
            </w:r>
          </w:p>
        </w:tc>
        <w:tc>
          <w:tcPr>
            <w:tcW w:type="dxa" w:w="37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rPr>
              <w:t xml:space="preserve">Action</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rPr>
              <w:t xml:space="preserve">Windows protected your PC</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rPr>
              <w:t xml:space="preserve">The program is not registered with Microsoft.</w:t>
            </w:r>
          </w:p>
        </w:tc>
        <w:tc>
          <w:tcPr>
            <w:tcW w:type="dxa" w:w="37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rPr>
              <w:t xml:space="preserve">Select More info, then Run anyway (section 3.2).</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rPr>
              <w:t xml:space="preserve">No data files (.DDF or .SEQ) were found</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rPr>
              <w:t xml:space="preserve">The selected folder is not the data folder.</w:t>
            </w:r>
          </w:p>
        </w:tc>
        <w:tc>
          <w:tcPr>
            <w:tcW w:type="dxa" w:w="37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rPr>
              <w:t xml:space="preserve">Select the folder that contains the data files.</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rPr>
              <w:t xml:space="preserve">A file is listed under Files not converted: no matching record layout</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rPr>
              <w:t xml:space="preserve">The file name does not identify its record layout.</w:t>
            </w:r>
          </w:p>
        </w:tc>
        <w:tc>
          <w:tcPr>
            <w:tcW w:type="dxa" w:w="37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rPr>
              <w:t xml:space="preserve">Specify the layout in layouts.csv (Appendix A).</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rPr>
              <w:t xml:space="preserve">A file is listed under Files not converted: the file is empty</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rPr>
              <w:t xml:space="preserve">The file contains no data.</w:t>
            </w:r>
          </w:p>
        </w:tc>
        <w:tc>
          <w:tcPr>
            <w:tcW w:type="dxa" w:w="37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rPr>
              <w:t xml:space="preserve">No action required.</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rPr>
              <w:t xml:space="preserve">A file is marked [CHECK LAYOUT]</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rPr>
              <w:t xml:space="preserve">More than one record layout matched the file equally well.</w:t>
            </w:r>
          </w:p>
        </w:tc>
        <w:tc>
          <w:tcPr>
            <w:tcW w:type="dxa" w:w="37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rPr>
              <w:t xml:space="preserve">Compare the file's spreadsheet with a printed report. If the fields do not match, specify the correct layout (Appendix A).</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rPr>
              <w:t xml:space="preserve">Fields that could not be read is above zero</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rPr>
              <w:t xml:space="preserve">Some fields contain values that do not match the record layout.</w:t>
            </w:r>
          </w:p>
        </w:tc>
        <w:tc>
          <w:tcPr>
            <w:tcW w:type="dxa" w:w="37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rPr>
              <w:t xml:space="preserve">Review _conversion_errors.csv and compare the affected records with printed reports.</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rPr>
              <w:t xml:space="preserve">ISAM files are listed in section 5 of the report</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rPr>
              <w:t xml:space="preserve">ISAM files cannot be read directly.</w:t>
            </w:r>
          </w:p>
        </w:tc>
        <w:tc>
          <w:tcPr>
            <w:tcW w:type="dxa" w:w="37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rPr>
              <w:t xml:space="preserve">Unload them as described in section 4.3 and convert again.</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rPr>
              <w:t xml:space="preserve">The output folder already contains files</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rPr>
              <w:t xml:space="preserve">An earlier conversion was saved to the same folder.</w:t>
            </w:r>
          </w:p>
        </w:tc>
        <w:tc>
          <w:tcPr>
            <w:tcW w:type="dxa" w:w="37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rPr>
              <w:t xml:space="preserve">Confirm to replace the earlier results, or choose another output folder.</w:t>
            </w:r>
          </w:p>
        </w:tc>
      </w:tr>
    </w:tbl>
    <w:p>
      <w:pPr>
        <w:spacing w:after="120"/>
      </w:pPr>
    </w:p>
    <w:p>
      <w:pPr>
        <w:pStyle w:val="Heading1"/>
      </w:pPr>
      <w:r>
        <w:rPr>
          <w:rFonts w:ascii="Times New Roman" w:cs="Times New Roman" w:eastAsia="Times New Roman" w:hAnsi="Times New Roman"/>
        </w:rPr>
        <w:t xml:space="preserve">9  Data Protection</w:t>
      </w:r>
    </w:p>
    <w:p>
      <w:pPr>
        <w:spacing w:after="120"/>
      </w:pPr>
      <w:r>
        <w:rPr>
          <w:rFonts w:ascii="Times New Roman" w:cs="Times New Roman" w:eastAsia="Times New Roman" w:hAnsi="Times New Roman"/>
        </w:rPr>
        <w:t xml:space="preserve">The data files contain personal information about customers and employees, which may include names, addresses, pay records and tax identification numbers. The converted output contains the same information and must be protected in the same way as the original data.</w:t>
      </w:r>
    </w:p>
    <w:p>
      <w:pPr>
        <w:pStyle w:val="ListParagraph"/>
        <w:numPr>
          <w:ilvl w:val="0"/>
          <w:numId w:val="3"/>
        </w:numPr>
        <w:spacing w:after="60"/>
      </w:pPr>
      <w:r>
        <w:rPr>
          <w:rFonts w:ascii="Times New Roman" w:cs="Times New Roman" w:eastAsia="Times New Roman" w:hAnsi="Times New Roman"/>
        </w:rPr>
        <w:t xml:space="preserve">The converter processes all data on the local computer. It does not transmit data over a network or to any third party.</w:t>
      </w:r>
    </w:p>
    <w:p>
      <w:pPr>
        <w:pStyle w:val="ListParagraph"/>
        <w:numPr>
          <w:ilvl w:val="0"/>
          <w:numId w:val="3"/>
        </w:numPr>
        <w:spacing w:after="60"/>
      </w:pPr>
      <w:r>
        <w:rPr>
          <w:rFonts w:ascii="Times New Roman" w:cs="Times New Roman" w:eastAsia="Times New Roman" w:hAnsi="Times New Roman"/>
        </w:rPr>
        <w:t xml:space="preserve">Store the copied data and the output folder in a location accessible only to authorised persons.</w:t>
      </w:r>
    </w:p>
    <w:p>
      <w:pPr>
        <w:pStyle w:val="ListParagraph"/>
        <w:numPr>
          <w:ilvl w:val="0"/>
          <w:numId w:val="3"/>
        </w:numPr>
        <w:spacing w:after="60"/>
      </w:pPr>
      <w:r>
        <w:rPr>
          <w:rFonts w:ascii="Times New Roman" w:cs="Times New Roman" w:eastAsia="Times New Roman" w:hAnsi="Times New Roman"/>
        </w:rPr>
        <w:t xml:space="preserve">Delete working copies, including copies on USB drives, when they are no longer required.</w:t>
      </w:r>
    </w:p>
    <w:p>
      <w:pPr>
        <w:pStyle w:val="ListParagraph"/>
        <w:numPr>
          <w:ilvl w:val="0"/>
          <w:numId w:val="3"/>
        </w:numPr>
        <w:spacing w:after="60"/>
      </w:pPr>
      <w:r>
        <w:rPr>
          <w:rFonts w:ascii="Times New Roman" w:cs="Times New Roman" w:eastAsia="Times New Roman" w:hAnsi="Times New Roman"/>
        </w:rPr>
        <w:t xml:space="preserve">Do not send the data or the output by email. The conversion report contains file names and counts only, and may be shared for support purposes.</w:t>
      </w:r>
    </w:p>
    <w:p>
      <w:pPr>
        <w:pStyle w:val="Heading1"/>
      </w:pPr>
      <w:r>
        <w:rPr>
          <w:rFonts w:ascii="Times New Roman" w:cs="Times New Roman" w:eastAsia="Times New Roman" w:hAnsi="Times New Roman"/>
        </w:rPr>
        <w:t xml:space="preserve">Appendix A: Specifying a Record Layout</w:t>
      </w:r>
    </w:p>
    <w:p>
      <w:pPr>
        <w:spacing w:after="120"/>
      </w:pPr>
      <w:r>
        <w:rPr>
          <w:rFonts w:ascii="Times New Roman" w:cs="Times New Roman" w:eastAsia="Times New Roman" w:hAnsi="Times New Roman"/>
        </w:rPr>
        <w:t xml:space="preserve">The converter identifies the record layout of each file from the file name. A file name such as AR01SALC.DDF consists of a module code (AR), a company number (01) and a file code (SALC). Where the file code does not identify a layout, the file is not converted, and the conversion report lists the layouts whose record length fits the file.</w:t>
      </w:r>
    </w:p>
    <w:p>
      <w:pPr>
        <w:spacing w:after="120"/>
      </w:pPr>
      <w:r>
        <w:rPr>
          <w:rFonts w:ascii="Times New Roman" w:cs="Times New Roman" w:eastAsia="Times New Roman" w:hAnsi="Times New Roman"/>
        </w:rPr>
        <w:t xml:space="preserve">To specify the layout for such a file:</w:t>
      </w:r>
    </w:p>
    <w:p>
      <w:pPr>
        <w:pStyle w:val="ListParagraph"/>
        <w:numPr>
          <w:ilvl w:val="0"/>
          <w:numId w:val="4"/>
        </w:numPr>
        <w:spacing w:after="80"/>
      </w:pPr>
      <w:r>
        <w:rPr>
          <w:rFonts w:ascii="Times New Roman" w:cs="Times New Roman" w:eastAsia="Times New Roman" w:hAnsi="Times New Roman"/>
        </w:rPr>
        <w:t xml:space="preserve">Open Notepad.</w:t>
      </w:r>
    </w:p>
    <w:p>
      <w:pPr>
        <w:pStyle w:val="ListParagraph"/>
        <w:numPr>
          <w:ilvl w:val="0"/>
          <w:numId w:val="4"/>
        </w:numPr>
        <w:spacing w:after="80"/>
      </w:pPr>
      <w:r>
        <w:rPr>
          <w:rFonts w:ascii="Times New Roman" w:cs="Times New Roman" w:eastAsia="Times New Roman" w:hAnsi="Times New Roman"/>
        </w:rPr>
        <w:t xml:space="preserve">Enter one line for each file, in the form FILE,LAYOUT. The layout is entered exactly as listed in the conversion report. For example:</w:t>
      </w:r>
    </w:p>
    <w:p>
      <w:pPr>
        <w:spacing w:after="120"/>
        <w:ind w:left="900"/>
      </w:pPr>
      <w:r>
        <w:rPr>
          <w:rFonts w:ascii="Courier New" w:cs="Courier New" w:eastAsia="Courier New" w:hAnsi="Courier New"/>
          <w:sz w:val="22"/>
          <w:szCs w:val="22"/>
        </w:rPr>
        <w:t xml:space="preserve">file,layout</w:t>
      </w:r>
      <w:r>
        <w:rPr>
          <w:rFonts w:ascii="Times New Roman" w:cs="Times New Roman" w:eastAsia="Times New Roman" w:hAnsi="Times New Roman"/>
        </w:rPr>
        <w:br/>
        <w:t xml:space="preserve"/>
      </w:r>
      <w:r>
        <w:rPr>
          <w:rFonts w:ascii="Courier New" w:cs="Courier New" w:eastAsia="Courier New" w:hAnsi="Courier New"/>
          <w:sz w:val="22"/>
          <w:szCs w:val="22"/>
        </w:rPr>
        <w:t xml:space="preserve">GL01MAST.DDF,GLAMS.FD:GLAMS</w:t>
      </w:r>
    </w:p>
    <w:p>
      <w:pPr>
        <w:pStyle w:val="ListParagraph"/>
        <w:numPr>
          <w:ilvl w:val="0"/>
          <w:numId w:val="4"/>
        </w:numPr>
        <w:spacing w:after="80"/>
      </w:pPr>
      <w:r>
        <w:rPr>
          <w:rFonts w:ascii="Times New Roman" w:cs="Times New Roman" w:eastAsia="Times New Roman" w:hAnsi="Times New Roman"/>
        </w:rPr>
        <w:t xml:space="preserve">Save the file in the source data folder with the name layouts.csv. In the Save As dialog, set </w:t>
      </w:r>
      <w:r>
        <w:rPr>
          <w:rFonts w:ascii="Times New Roman" w:cs="Times New Roman" w:eastAsia="Times New Roman" w:hAnsi="Times New Roman"/>
          <w:b/>
          <w:bCs/>
        </w:rPr>
        <w:t xml:space="preserve">Save as type</w:t>
      </w:r>
      <w:r>
        <w:rPr>
          <w:rFonts w:ascii="Times New Roman" w:cs="Times New Roman" w:eastAsia="Times New Roman" w:hAnsi="Times New Roman"/>
        </w:rPr>
        <w:t xml:space="preserve"> to </w:t>
      </w:r>
      <w:r>
        <w:rPr>
          <w:rFonts w:ascii="Times New Roman" w:cs="Times New Roman" w:eastAsia="Times New Roman" w:hAnsi="Times New Roman"/>
          <w:b/>
          <w:bCs/>
        </w:rPr>
        <w:t xml:space="preserve">All files</w:t>
      </w:r>
      <w:r>
        <w:rPr>
          <w:rFonts w:ascii="Times New Roman" w:cs="Times New Roman" w:eastAsia="Times New Roman" w:hAnsi="Times New Roman"/>
        </w:rPr>
        <w:t xml:space="preserve">.</w:t>
      </w:r>
    </w:p>
    <w:p>
      <w:pPr>
        <w:pStyle w:val="ListParagraph"/>
        <w:numPr>
          <w:ilvl w:val="0"/>
          <w:numId w:val="4"/>
        </w:numPr>
        <w:spacing w:after="80"/>
      </w:pPr>
      <w:r>
        <w:rPr>
          <w:rFonts w:ascii="Times New Roman" w:cs="Times New Roman" w:eastAsia="Times New Roman" w:hAnsi="Times New Roman"/>
        </w:rPr>
        <w:t xml:space="preserve">Run the conversion again.</w:t>
      </w:r>
    </w:p>
    <w:p>
      <w:pPr>
        <w:spacing w:after="120"/>
      </w:pPr>
      <w:r>
        <w:rPr>
          <w:rFonts w:ascii="Times New Roman" w:cs="Times New Roman" w:eastAsia="Times New Roman" w:hAnsi="Times New Roman"/>
        </w:rPr>
        <w:t xml:space="preserve">A layout given in layouts.csv takes precedence over the automatic selection. If the layout's record length does not fit the file, the file is not converted and the report states the reason. Lines beginning with # are ignored.</w:t>
      </w:r>
    </w:p>
    <w:sectPr>
      <w:headerReference w:type="default" r:id="rId7"/>
      <w:footerReference w:type="default" r:id="rId8"/>
      <w:pgSz w:w="12240" w:h="15840"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tabs>
        <w:tab w:val="right" w:pos="9360"/>
      </w:tabs>
    </w:pPr>
    <w:r>
      <w:rPr>
        <w:rFonts w:ascii="Times New Roman" w:cs="Times New Roman" w:eastAsia="Times New Roman" w:hAnsi="Times New Roman"/>
        <w:sz w:val="20"/>
        <w:szCs w:val="20"/>
      </w:rPr>
      <w:t xml:space="preserve">DBL Data Converter</w:t>
    </w:r>
    <w:r>
      <w:rPr>
        <w:rFonts w:ascii="Times New Roman" w:cs="Times New Roman" w:eastAsia="Times New Roman" w:hAnsi="Times New Roman"/>
        <w:sz w:val="20"/>
        <w:szCs w:val="20"/>
      </w:rPr>
      <w:t xml:space="preserve">	User Guide, version 1.0.0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keepNext/>
      <w:spacing w:after="100" w:before="240"/>
      <w:outlineLvl w:val="1"/>
    </w:pPr>
    <w:rPr>
      <w:rFonts w:ascii="Times New Roman" w:cs="Times New Roman" w:eastAsia="Times New Roman" w:hAnsi="Times New Roman"/>
      <w:b/>
      <w:bCs/>
      <w:color w:val="00000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DBL Data Converter User Guide</dc:title>
  <dc:description>User Guide, software version 1.0.0</dc:description>
  <cp:revision>1</cp:revision>
  <dcterms:created xsi:type="dcterms:W3CDTF">2026-10-31T20:57:06.633Z</dcterms:created>
  <dcterms:modified xsi:type="dcterms:W3CDTF">2026-10-31T20:57:06.634Z</dcterms:modified>
</cp:coreProperties>
</file>

<file path=docProps/custom.xml><?xml version="1.0" encoding="utf-8"?>
<Properties xmlns="http://schemas.openxmlformats.org/officeDocument/2006/custom-properties" xmlns:vt="http://schemas.openxmlformats.org/officeDocument/2006/docPropsVTypes"/>
</file>