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sz w:val="40"/>
          <w:szCs w:val="40"/>
        </w:rPr>
        <w:t xml:space="preserve">Fusion Tree Project — Work Log</w:t>
      </w:r>
    </w:p>
    <w:p>
      <w:pPr>
        <w:spacing w:after="240"/>
      </w:pPr>
      <w:r>
        <w:rPr>
          <w:color w:val="555555"/>
        </w:rPr>
        <w:t xml:space="preserve">10 September 2026 · STEM Lab 2026–27 · session with Claude</w:t>
      </w:r>
    </w:p>
    <w:p>
      <w:pPr>
        <w:pStyle w:val="Heading1"/>
        <w:keepNext/>
      </w:pPr>
      <w:r>
        <w:t xml:space="preserve">1. Summary</w:t>
      </w:r>
    </w:p>
    <w:p>
      <w:pPr>
        <w:pStyle w:val="ListParagraph"/>
        <w:numPr>
          <w:ilvl w:val="0"/>
          <w:numId w:val="2"/>
        </w:numPr>
        <w:spacing w:after="60"/>
      </w:pPr>
      <w:r>
        <w:t xml:space="preserve">The project is now under git, </w:t>
      </w:r>
      <w:r>
        <w:rPr>
          <w:rFonts w:ascii="Consolas" w:cs="Consolas" w:eastAsia="Consolas" w:hAnsi="Consolas"/>
          <w:sz w:val="19"/>
          <w:szCs w:val="19"/>
        </w:rPr>
        <w:t xml:space="preserve">results/machine.txt</w:t>
      </w:r>
      <w:r>
        <w:t xml:space="preserve"> records the hardware (it was empty), and CHECKPOINT 2 passes: 1,720,312 node checks and 4,800,000 structure checks, zero failures, with both the PEXT and the loop sketch.</w:t>
      </w:r>
    </w:p>
    <w:p>
      <w:pPr>
        <w:pStyle w:val="ListParagraph"/>
        <w:numPr>
          <w:ilvl w:val="0"/>
          <w:numId w:val="2"/>
        </w:numPr>
        <w:spacing w:after="60"/>
      </w:pPr>
      <w:r>
        <w:t xml:space="preserve">The benchmark harness was hardened. The warm-up can no longer be optimised away, runs are pinned to a named core from inside the program, and the order of structures is shuffled every repetition. Two additions: a </w:t>
      </w:r>
      <w:r>
        <w:rPr>
          <w:b/>
          <w:bCs/>
        </w:rPr>
        <w:t xml:space="preserve">latency</w:t>
      </w:r>
      <w:r>
        <w:t xml:space="preserve"> mode beside the original throughput mode, and a stronger </w:t>
      </w:r>
      <w:r>
        <w:rPr>
          <w:b/>
          <w:bCs/>
        </w:rPr>
        <w:t xml:space="preserve">branch-free B-tree</w:t>
      </w:r>
      <w:r>
        <w:t xml:space="preserve"> baseline.</w:t>
      </w:r>
    </w:p>
    <w:p>
      <w:pPr>
        <w:pStyle w:val="ListParagraph"/>
        <w:numPr>
          <w:ilvl w:val="0"/>
          <w:numId w:val="2"/>
        </w:numPr>
        <w:spacing w:after="60"/>
      </w:pPr>
      <w:r>
        <w:rPr>
          <w:b/>
          <w:bCs/>
        </w:rPr>
        <w:t xml:space="preserve">The fusion tree loses to both B-trees at every size measured, 2</w:t>
      </w:r>
      <w:r>
        <w:rPr>
          <w:b/>
          <w:bCs/>
          <w:vertAlign w:val="superscript"/>
        </w:rPr>
        <w:t xml:space="preserve">8</w:t>
      </w:r>
      <w:r>
        <w:rPr>
          <w:b/>
          <w:bCs/>
        </w:rPr>
        <w:t xml:space="preserve"> to 2</w:t>
      </w:r>
      <w:r>
        <w:rPr>
          <w:b/>
          <w:bCs/>
          <w:vertAlign w:val="superscript"/>
        </w:rPr>
        <w:t xml:space="preserve">25</w:t>
      </w:r>
      <w:r>
        <w:rPr>
          <w:b/>
          <w:bCs/>
        </w:rPr>
        <w:t xml:space="preserve"> keys, in both modes.</w:t>
      </w:r>
      <w:r>
        <w:t xml:space="preserve"> Against the branch-free B-tree in throughput, the gap does not narrow: 1.7–3.2×, with a rising slope.</w:t>
      </w:r>
    </w:p>
    <w:p>
      <w:pPr>
        <w:pStyle w:val="ListParagraph"/>
        <w:numPr>
          <w:ilvl w:val="0"/>
          <w:numId w:val="2"/>
        </w:numPr>
        <w:spacing w:after="60"/>
      </w:pPr>
      <w:r>
        <w:t xml:space="preserve">In latency mode the gap to the B-trees does narrow, from 1.6× to 1.2×. A straight-line fit reaches 1.0 near 2</w:t>
      </w:r>
      <w:r>
        <w:rPr>
          <w:vertAlign w:val="superscript"/>
        </w:rPr>
        <w:t xml:space="preserve">39</w:t>
      </w:r>
      <w:r>
        <w:t xml:space="preserve"> keys, 128 times more keys than this machine's memory holds. That figure is an extrapolation, and the last three points look flat.</w:t>
      </w:r>
    </w:p>
    <w:p>
      <w:pPr>
        <w:pStyle w:val="ListParagraph"/>
        <w:numPr>
          <w:ilvl w:val="0"/>
          <w:numId w:val="2"/>
        </w:numPr>
        <w:spacing w:after="60"/>
      </w:pPr>
      <w:r>
        <w:t xml:space="preserve">The fusion tree does beat plain binary search at very large n: from 2</w:t>
      </w:r>
      <w:r>
        <w:rPr>
          <w:vertAlign w:val="superscript"/>
        </w:rPr>
        <w:t xml:space="preserve">24</w:t>
      </w:r>
      <w:r>
        <w:t xml:space="preserve"> keys in throughput and 2</w:t>
      </w:r>
      <w:r>
        <w:rPr>
          <w:vertAlign w:val="superscript"/>
        </w:rPr>
        <w:t xml:space="preserve">22</w:t>
      </w:r>
      <w:r>
        <w:t xml:space="preserve"> in latency. This is a </w:t>
      </w:r>
      <w:r>
        <w:rPr>
          <w:b/>
          <w:bCs/>
        </w:rPr>
        <w:t xml:space="preserve">layout</w:t>
      </w:r>
      <w:r>
        <w:t xml:space="preserve"> effect, not the fusion node. The ordinary B-tree beats binary search at the same sizes, and by more.</w:t>
      </w:r>
    </w:p>
    <w:p>
      <w:pPr>
        <w:pStyle w:val="ListParagraph"/>
        <w:numPr>
          <w:ilvl w:val="0"/>
          <w:numId w:val="2"/>
        </w:numPr>
        <w:spacing w:after="60"/>
      </w:pPr>
      <w:r>
        <w:t xml:space="preserve">Two sensitivities belong in the report. The core type (performance vs efficiency) and the run order (shuffled vs blocked) each move results by 10–60%, and both change the ratios, not just the absolute times.</w:t>
      </w:r>
    </w:p>
    <w:p>
      <w:pPr>
        <w:pStyle w:val="Heading1"/>
        <w:keepNext/>
      </w:pPr>
      <w:r>
        <w:t xml:space="preserve">2. Where the project stood this morning</w:t>
      </w:r>
    </w:p>
    <w:p>
      <w:pPr>
        <w:spacing w:after="120"/>
      </w:pPr>
      <w:r>
        <w:t xml:space="preserve">The folder held the starter tree plus the 9 September outputs: a smoke run, an unpinned run, a “lab” run, </w:t>
      </w:r>
      <w:r>
        <w:rPr>
          <w:rFonts w:ascii="Consolas" w:cs="Consolas" w:eastAsia="Consolas" w:hAnsi="Consolas"/>
          <w:sz w:val="19"/>
          <w:szCs w:val="19"/>
        </w:rPr>
        <w:t xml:space="preserve">timing_raw.csv</w:t>
      </w:r>
      <w:r>
        <w:t xml:space="preserve">, </w:t>
      </w:r>
      <w:r>
        <w:rPr>
          <w:rFonts w:ascii="Consolas" w:cs="Consolas" w:eastAsia="Consolas" w:hAnsi="Consolas"/>
          <w:sz w:val="19"/>
          <w:szCs w:val="19"/>
        </w:rPr>
        <w:t xml:space="preserve">spread.csv</w:t>
      </w:r>
      <w:r>
        <w:t xml:space="preserve">, and three figures. Four problems:</w:t>
      </w:r>
    </w:p>
    <w:p>
      <w:pPr>
        <w:pStyle w:val="ListParagraph"/>
        <w:numPr>
          <w:ilvl w:val="0"/>
          <w:numId w:val="2"/>
        </w:numPr>
        <w:spacing w:after="60"/>
      </w:pPr>
      <w:r>
        <w:t xml:space="preserve">It was not a git repository, although the manual asks for a commit after every step.</w:t>
      </w:r>
    </w:p>
    <w:p>
      <w:pPr>
        <w:pStyle w:val="ListParagraph"/>
        <w:numPr>
          <w:ilvl w:val="0"/>
          <w:numId w:val="2"/>
        </w:numPr>
        <w:spacing w:after="60"/>
      </w:pPr>
      <w:r>
        <w:rPr>
          <w:rFonts w:ascii="Consolas" w:cs="Consolas" w:eastAsia="Consolas" w:hAnsi="Consolas"/>
          <w:sz w:val="19"/>
          <w:szCs w:val="19"/>
        </w:rPr>
        <w:t xml:space="preserve">results/machine.txt</w:t>
      </w:r>
      <w:r>
        <w:t xml:space="preserve"> existed but was </w:t>
      </w:r>
      <w:r>
        <w:rPr>
          <w:b/>
          <w:bCs/>
        </w:rPr>
        <w:t xml:space="preserve">0 bytes</w:t>
      </w:r>
      <w:r>
        <w:t xml:space="preserve">. The hardware was never recorded.</w:t>
      </w:r>
    </w:p>
    <w:p>
      <w:pPr>
        <w:pStyle w:val="ListParagraph"/>
        <w:numPr>
          <w:ilvl w:val="0"/>
          <w:numId w:val="2"/>
        </w:numPr>
        <w:spacing w:after="60"/>
      </w:pPr>
      <w:r>
        <w:rPr>
          <w:rFonts w:ascii="Consolas" w:cs="Consolas" w:eastAsia="Consolas" w:hAnsi="Consolas"/>
          <w:sz w:val="19"/>
          <w:szCs w:val="19"/>
        </w:rPr>
        <w:t xml:space="preserve">timing_lab.csv</w:t>
      </w:r>
      <w:r>
        <w:t xml:space="preserve"> and </w:t>
      </w:r>
      <w:r>
        <w:rPr>
          <w:rFonts w:ascii="Consolas" w:cs="Consolas" w:eastAsia="Consolas" w:hAnsi="Consolas"/>
          <w:sz w:val="19"/>
          <w:szCs w:val="19"/>
        </w:rPr>
        <w:t xml:space="preserve">timing_raw.csv</w:t>
      </w:r>
      <w:r>
        <w:t xml:space="preserve"> are byte-identical: the same run saved twice.</w:t>
      </w:r>
    </w:p>
    <w:p>
      <w:pPr>
        <w:pStyle w:val="ListParagraph"/>
        <w:numPr>
          <w:ilvl w:val="0"/>
          <w:numId w:val="2"/>
        </w:numPr>
        <w:spacing w:after="60"/>
      </w:pPr>
      <w:r>
        <w:t xml:space="preserve">The figures and </w:t>
      </w:r>
      <w:r>
        <w:rPr>
          <w:rFonts w:ascii="Consolas" w:cs="Consolas" w:eastAsia="Consolas" w:hAnsi="Consolas"/>
          <w:sz w:val="19"/>
          <w:szCs w:val="19"/>
        </w:rPr>
        <w:t xml:space="preserve">summary.csv</w:t>
      </w:r>
      <w:r>
        <w:t xml:space="preserve"> were built from that run, whose core placement was not recorded.</w:t>
      </w:r>
    </w:p>
    <w:p>
      <w:pPr>
        <w:pStyle w:val="Heading1"/>
        <w:keepNext/>
      </w:pPr>
      <w:r>
        <w:t xml:space="preserve">3. Setup</w:t>
      </w:r>
    </w:p>
    <w:p>
      <w:pPr>
        <w:pStyle w:val="Heading2"/>
        <w:keepNext/>
      </w:pPr>
      <w:r>
        <w:t xml:space="preserve">3.1 Version control</w:t>
      </w:r>
    </w:p>
    <w:p>
      <w:pPr>
        <w:spacing w:after="120"/>
      </w:pPr>
      <w:r>
        <w:rPr>
          <w:rFonts w:ascii="Consolas" w:cs="Consolas" w:eastAsia="Consolas" w:hAnsi="Consolas"/>
          <w:sz w:val="19"/>
          <w:szCs w:val="19"/>
        </w:rPr>
        <w:t xml:space="preserve">git init</w:t>
      </w:r>
      <w:r>
        <w:t xml:space="preserve"> on branch </w:t>
      </w:r>
      <w:r>
        <w:rPr>
          <w:rFonts w:ascii="Consolas" w:cs="Consolas" w:eastAsia="Consolas" w:hAnsi="Consolas"/>
          <w:sz w:val="19"/>
          <w:szCs w:val="19"/>
        </w:rPr>
        <w:t xml:space="preserve">main</w:t>
      </w:r>
      <w:r>
        <w:t xml:space="preserve">. The starting state (code plus all 9 September results) was committed unchanged first, so every later change shows as a diff. A </w:t>
      </w:r>
      <w:r>
        <w:rPr>
          <w:rFonts w:ascii="Consolas" w:cs="Consolas" w:eastAsia="Consolas" w:hAnsi="Consolas"/>
          <w:sz w:val="19"/>
          <w:szCs w:val="19"/>
        </w:rPr>
        <w:t xml:space="preserve">.gitignore</w:t>
      </w:r>
      <w:r>
        <w:t xml:space="preserve"> excludes </w:t>
      </w:r>
      <w:r>
        <w:rPr>
          <w:rFonts w:ascii="Consolas" w:cs="Consolas" w:eastAsia="Consolas" w:hAnsi="Consolas"/>
          <w:sz w:val="19"/>
          <w:szCs w:val="19"/>
        </w:rPr>
        <w:t xml:space="preserve">build/</w:t>
      </w:r>
      <w:r>
        <w:t xml:space="preserve"> and executables.</w:t>
      </w:r>
    </w:p>
    <w:p>
      <w:pPr>
        <w:pStyle w:val="Heading2"/>
        <w:keepNext/>
      </w:pPr>
      <w:r>
        <w:t xml:space="preserve">3.2 The machine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BFBFBF" w:sz="4"/>
              <w:left w:val="single" w:color="BFBFBF" w:sz="4"/>
              <w:bottom w:val="single" w:color="BFBFBF" w:sz="4"/>
              <w:right w:val="single" w:color="BFBFBF" w:sz="4"/>
            </w:tcBorders>
            <w:shd w:fill="E8EEF4" w:color="auto" w:val="clear"/>
            <w:tcMar>
              <w:top w:type="dxa" w:w="60"/>
              <w:left w:type="dxa" w:w="100"/>
              <w:bottom w:type="dxa" w:w="60"/>
              <w:right w:type="dxa" w:w="100"/>
            </w:tcMar>
          </w:tcPr>
          <w:p>
            <w:pPr>
              <w:jc w:val="left"/>
            </w:pPr>
            <w:r>
              <w:rPr>
                <w:b/>
                <w:bCs/>
                <w:sz w:val="18"/>
                <w:szCs w:val="18"/>
              </w:rPr>
              <w:t xml:space="preserve">Item</w:t>
            </w:r>
          </w:p>
        </w:tc>
        <w:tc>
          <w:tcPr>
            <w:tcW w:type="dxa" w:w="7560"/>
            <w:tcBorders>
              <w:top w:val="single" w:color="BFBFBF" w:sz="4"/>
              <w:left w:val="single" w:color="BFBFBF" w:sz="4"/>
              <w:bottom w:val="single" w:color="BFBFBF" w:sz="4"/>
              <w:right w:val="single" w:color="BFBFBF" w:sz="4"/>
            </w:tcBorders>
            <w:shd w:fill="E8EEF4" w:color="auto" w:val="clear"/>
            <w:tcMar>
              <w:top w:type="dxa" w:w="60"/>
              <w:left w:type="dxa" w:w="100"/>
              <w:bottom w:type="dxa" w:w="60"/>
              <w:right w:type="dxa" w:w="100"/>
            </w:tcMar>
          </w:tcPr>
          <w:p>
            <w:pPr>
              <w:jc w:val="left"/>
            </w:pPr>
            <w:r>
              <w:rPr>
                <w:b/>
                <w:bCs/>
                <w:sz w:val="18"/>
                <w:szCs w:val="18"/>
              </w:rPr>
              <w:t xml:space="preserve">Value</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Laptop</w:t>
            </w:r>
          </w:p>
        </w:tc>
        <w:tc>
          <w:tcPr>
            <w:tcW w:type="dxa" w:w="7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Lenovo 83F3, Windows 11 Home 10.0.26200, Balanced power plan</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CPU</w:t>
            </w:r>
          </w:p>
        </w:tc>
        <w:tc>
          <w:tcPr>
            <w:tcW w:type="dxa" w:w="7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Intel Core Ultra 7 255HX (Arrow Lake-HX), 20 cores, no SMT</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Core types</w:t>
            </w:r>
          </w:p>
        </w:tc>
        <w:tc>
          <w:tcPr>
            <w:tcW w:type="dxa" w:w="7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bCs/>
              </w:rPr>
              <w:t xml:space="preserve">Hybrid.</w:t>
            </w:r>
            <w:r>
              <w:t xml:space="preserve"> Performance cores = logical CPUs 0, 1, 6, 7, 8, 9, 18, 19. Efficiency cores = 2–5, 10–17.</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Memory</w:t>
            </w:r>
          </w:p>
        </w:tc>
        <w:tc>
          <w:tcPr>
            <w:tcW w:type="dxa" w:w="7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32 GB DDR5-5600; L2 36 MB total; L3 30 MB shared</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ISA</w:t>
            </w:r>
          </w:p>
        </w:tc>
        <w:tc>
          <w:tcPr>
            <w:tcW w:type="dxa" w:w="7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BMI2 (native PEXT), POPCNT, LZCNT, AVX2. </w:t>
            </w:r>
            <w:r>
              <w:rPr>
                <w:b/>
                <w:bCs/>
              </w:rPr>
              <w:t xml:space="preserve">No AVX-512.</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Compiler</w:t>
            </w:r>
          </w:p>
        </w:tc>
        <w:tc>
          <w:tcPr>
            <w:tcW w:type="dxa" w:w="7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g++ 16.1.0 (MSYS2 ucrt64); -march=native = arrowlake-s. clang++ not installed.</w:t>
            </w:r>
          </w:p>
        </w:tc>
      </w:tr>
    </w:tbl>
    <w:p>
      <w:pPr>
        <w:spacing w:after="120"/>
      </w:pPr>
    </w:p>
    <w:p>
      <w:pPr>
        <w:spacing w:after="120"/>
      </w:pPr>
      <w:r>
        <w:t xml:space="preserve">The core map was read with the Windows </w:t>
      </w:r>
      <w:r>
        <w:rPr>
          <w:rFonts w:ascii="Consolas" w:cs="Consolas" w:eastAsia="Consolas" w:hAnsi="Consolas"/>
          <w:sz w:val="19"/>
          <w:szCs w:val="19"/>
        </w:rPr>
        <w:t xml:space="preserve">GetSystemCpuSetInformation</w:t>
      </w:r>
      <w:r>
        <w:t xml:space="preserve"> call. It matters because the manual’s example </w:t>
      </w:r>
      <w:r>
        <w:rPr>
          <w:rFonts w:ascii="Consolas" w:cs="Consolas" w:eastAsia="Consolas" w:hAnsi="Consolas"/>
          <w:sz w:val="19"/>
          <w:szCs w:val="19"/>
        </w:rPr>
        <w:t xml:space="preserve">taskset -c 2</w:t>
      </w:r>
      <w:r>
        <w:t xml:space="preserve"> would, on this laptop, pin the benchmark to an </w:t>
      </w:r>
      <w:r>
        <w:rPr>
          <w:b/>
          <w:bCs/>
        </w:rPr>
        <w:t xml:space="preserve">efficiency</w:t>
      </w:r>
      <w:r>
        <w:t xml:space="preserve"> core.</w:t>
      </w:r>
    </w:p>
    <w:p>
      <w:pPr>
        <w:pStyle w:val="Heading2"/>
        <w:keepNext/>
      </w:pPr>
      <w:r>
        <w:t xml:space="preserve">3.3 Build environment gotchas</w:t>
      </w:r>
    </w:p>
    <w:p>
      <w:pPr>
        <w:pStyle w:val="ListParagraph"/>
        <w:numPr>
          <w:ilvl w:val="0"/>
          <w:numId w:val="2"/>
        </w:numPr>
        <w:spacing w:after="60"/>
      </w:pPr>
      <w:r>
        <w:t xml:space="preserve">From Git Bash, </w:t>
      </w:r>
      <w:r>
        <w:rPr>
          <w:rFonts w:ascii="Consolas" w:cs="Consolas" w:eastAsia="Consolas" w:hAnsi="Consolas"/>
          <w:sz w:val="19"/>
          <w:szCs w:val="19"/>
        </w:rPr>
        <w:t xml:space="preserve">make test</w:t>
      </w:r>
      <w:r>
        <w:t xml:space="preserve"> fails with “Cannot create temporary file in C:\Windows\”. Running </w:t>
      </w:r>
      <w:r>
        <w:rPr>
          <w:rFonts w:ascii="Consolas" w:cs="Consolas" w:eastAsia="Consolas" w:hAnsi="Consolas"/>
          <w:sz w:val="19"/>
          <w:szCs w:val="19"/>
        </w:rPr>
        <w:t xml:space="preserve">make</w:t>
      </w:r>
      <w:r>
        <w:t xml:space="preserve"> from PowerShell with </w:t>
      </w:r>
      <w:r>
        <w:rPr>
          <w:rFonts w:ascii="Consolas" w:cs="Consolas" w:eastAsia="Consolas" w:hAnsi="Consolas"/>
          <w:sz w:val="19"/>
          <w:szCs w:val="19"/>
        </w:rPr>
        <w:t xml:space="preserve">TMP</w:t>
      </w:r>
      <w:r>
        <w:t xml:space="preserve">/</w:t>
      </w:r>
      <w:r>
        <w:rPr>
          <w:rFonts w:ascii="Consolas" w:cs="Consolas" w:eastAsia="Consolas" w:hAnsi="Consolas"/>
          <w:sz w:val="19"/>
          <w:szCs w:val="19"/>
        </w:rPr>
        <w:t xml:space="preserve">TEMP</w:t>
      </w:r>
      <w:r>
        <w:t xml:space="preserve"> set to a writable folder works.</w:t>
      </w:r>
    </w:p>
    <w:p>
      <w:pPr>
        <w:pStyle w:val="ListParagraph"/>
        <w:numPr>
          <w:ilvl w:val="0"/>
          <w:numId w:val="2"/>
        </w:numPr>
        <w:spacing w:after="60"/>
      </w:pPr>
      <w:r>
        <w:t xml:space="preserve">With </w:t>
      </w:r>
      <w:r>
        <w:rPr>
          <w:rFonts w:ascii="Consolas" w:cs="Consolas" w:eastAsia="Consolas" w:hAnsi="Consolas"/>
          <w:sz w:val="19"/>
          <w:szCs w:val="19"/>
        </w:rPr>
        <w:t xml:space="preserve">C:\msys64\usr\bin</w:t>
      </w:r>
      <w:r>
        <w:t xml:space="preserve"> first on PATH, </w:t>
      </w:r>
      <w:r>
        <w:rPr>
          <w:rFonts w:ascii="Consolas" w:cs="Consolas" w:eastAsia="Consolas" w:hAnsi="Consolas"/>
          <w:sz w:val="19"/>
          <w:szCs w:val="19"/>
        </w:rPr>
        <w:t xml:space="preserve">cmd</w:t>
      </w:r>
      <w:r>
        <w:t xml:space="preserve"> resolves to an MSYS shell script, not Windows’ </w:t>
      </w:r>
      <w:r>
        <w:rPr>
          <w:rFonts w:ascii="Consolas" w:cs="Consolas" w:eastAsia="Consolas" w:hAnsi="Consolas"/>
          <w:sz w:val="19"/>
          <w:szCs w:val="19"/>
        </w:rPr>
        <w:t xml:space="preserve">cmd.exe</w:t>
      </w:r>
      <w:r>
        <w:t xml:space="preserve">. Scripts should call </w:t>
      </w:r>
      <w:r>
        <w:rPr>
          <w:rFonts w:ascii="Consolas" w:cs="Consolas" w:eastAsia="Consolas" w:hAnsi="Consolas"/>
          <w:sz w:val="19"/>
          <w:szCs w:val="19"/>
        </w:rPr>
        <w:t xml:space="preserve">$env:ComSpec</w:t>
      </w:r>
      <w:r>
        <w:t xml:space="preserve">. This silently broke my first campaign attempt; no data was lost.</w:t>
      </w:r>
    </w:p>
    <w:p>
      <w:pPr>
        <w:pStyle w:val="ListParagraph"/>
        <w:numPr>
          <w:ilvl w:val="0"/>
          <w:numId w:val="2"/>
        </w:numPr>
        <w:spacing w:after="60"/>
      </w:pPr>
      <w:r>
        <w:t xml:space="preserve">A </w:t>
      </w:r>
      <w:r>
        <w:rPr>
          <w:rFonts w:ascii="Consolas" w:cs="Consolas" w:eastAsia="Consolas" w:hAnsi="Consolas"/>
          <w:sz w:val="19"/>
          <w:szCs w:val="19"/>
        </w:rPr>
        <w:t xml:space="preserve">-Warray-bounds</w:t>
      </w:r>
      <w:r>
        <w:t xml:space="preserve"> warning from </w:t>
      </w:r>
      <w:r>
        <w:rPr>
          <w:rFonts w:ascii="Consolas" w:cs="Consolas" w:eastAsia="Consolas" w:hAnsi="Consolas"/>
          <w:sz w:val="19"/>
          <w:szCs w:val="19"/>
        </w:rPr>
        <w:t xml:space="preserve">std::sort</w:t>
      </w:r>
      <w:r>
        <w:t xml:space="preserve"> inside </w:t>
      </w:r>
      <w:r>
        <w:rPr>
          <w:rFonts w:ascii="Consolas" w:cs="Consolas" w:eastAsia="Consolas" w:hAnsi="Consolas"/>
          <w:sz w:val="19"/>
          <w:szCs w:val="19"/>
        </w:rPr>
        <w:t xml:space="preserve">FusionNode::build</w:t>
      </w:r>
      <w:r>
        <w:t xml:space="preserve"> is present in the code as received. It is a false positive: the sorted range never exceeds 7 elements.</w:t>
      </w:r>
    </w:p>
    <w:p>
      <w:pPr>
        <w:pStyle w:val="Heading1"/>
        <w:keepNext/>
      </w:pPr>
      <w:r>
        <w:t xml:space="preserve">4. Review findings</w:t>
      </w:r>
    </w:p>
    <w:p>
      <w:pPr>
        <w:spacing w:after="120"/>
      </w:pPr>
      <w:r>
        <w:t xml:space="preserve">The code and manual were read against each other and against this machine. Each finding below was checked by measurement or by inspection.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400"/>
        <w:gridCol w:w="3960"/>
        <w:gridCol w:w="2600"/>
      </w:tblGrid>
      <w:tr>
        <w:trPr>
          <w:tblHeader/>
        </w:trPr>
        <w:tc>
          <w:tcPr>
            <w:tcW w:type="dxa" w:w="400"/>
            <w:tcBorders>
              <w:top w:val="single" w:color="BFBFBF" w:sz="4"/>
              <w:left w:val="single" w:color="BFBFBF" w:sz="4"/>
              <w:bottom w:val="single" w:color="BFBFBF" w:sz="4"/>
              <w:right w:val="single" w:color="BFBFBF" w:sz="4"/>
            </w:tcBorders>
            <w:shd w:fill="E8EEF4" w:color="auto" w:val="clear"/>
            <w:tcMar>
              <w:top w:type="dxa" w:w="60"/>
              <w:left w:type="dxa" w:w="100"/>
              <w:bottom w:type="dxa" w:w="60"/>
              <w:right w:type="dxa" w:w="100"/>
            </w:tcMar>
          </w:tcPr>
          <w:p>
            <w:pPr>
              <w:jc w:val="left"/>
            </w:pPr>
            <w:r>
              <w:rPr>
                <w:b/>
                <w:bCs/>
                <w:sz w:val="18"/>
                <w:szCs w:val="18"/>
              </w:rPr>
              <w:t xml:space="preserve">#</w:t>
            </w:r>
          </w:p>
        </w:tc>
        <w:tc>
          <w:tcPr>
            <w:tcW w:type="dxa" w:w="2400"/>
            <w:tcBorders>
              <w:top w:val="single" w:color="BFBFBF" w:sz="4"/>
              <w:left w:val="single" w:color="BFBFBF" w:sz="4"/>
              <w:bottom w:val="single" w:color="BFBFBF" w:sz="4"/>
              <w:right w:val="single" w:color="BFBFBF" w:sz="4"/>
            </w:tcBorders>
            <w:shd w:fill="E8EEF4" w:color="auto" w:val="clear"/>
            <w:tcMar>
              <w:top w:type="dxa" w:w="60"/>
              <w:left w:type="dxa" w:w="100"/>
              <w:bottom w:type="dxa" w:w="60"/>
              <w:right w:type="dxa" w:w="100"/>
            </w:tcMar>
          </w:tcPr>
          <w:p>
            <w:pPr>
              <w:jc w:val="left"/>
            </w:pPr>
            <w:r>
              <w:rPr>
                <w:b/>
                <w:bCs/>
                <w:sz w:val="18"/>
                <w:szCs w:val="18"/>
              </w:rPr>
              <w:t xml:space="preserve">Finding</w:t>
            </w:r>
          </w:p>
        </w:tc>
        <w:tc>
          <w:tcPr>
            <w:tcW w:type="dxa" w:w="3960"/>
            <w:tcBorders>
              <w:top w:val="single" w:color="BFBFBF" w:sz="4"/>
              <w:left w:val="single" w:color="BFBFBF" w:sz="4"/>
              <w:bottom w:val="single" w:color="BFBFBF" w:sz="4"/>
              <w:right w:val="single" w:color="BFBFBF" w:sz="4"/>
            </w:tcBorders>
            <w:shd w:fill="E8EEF4" w:color="auto" w:val="clear"/>
            <w:tcMar>
              <w:top w:type="dxa" w:w="60"/>
              <w:left w:type="dxa" w:w="100"/>
              <w:bottom w:type="dxa" w:w="60"/>
              <w:right w:type="dxa" w:w="100"/>
            </w:tcMar>
          </w:tcPr>
          <w:p>
            <w:pPr>
              <w:jc w:val="left"/>
            </w:pPr>
            <w:r>
              <w:rPr>
                <w:b/>
                <w:bCs/>
                <w:sz w:val="18"/>
                <w:szCs w:val="18"/>
              </w:rPr>
              <w:t xml:space="preserve">Evidence</w:t>
            </w:r>
          </w:p>
        </w:tc>
        <w:tc>
          <w:tcPr>
            <w:tcW w:type="dxa" w:w="2600"/>
            <w:tcBorders>
              <w:top w:val="single" w:color="BFBFBF" w:sz="4"/>
              <w:left w:val="single" w:color="BFBFBF" w:sz="4"/>
              <w:bottom w:val="single" w:color="BFBFBF" w:sz="4"/>
              <w:right w:val="single" w:color="BFBFBF" w:sz="4"/>
            </w:tcBorders>
            <w:shd w:fill="E8EEF4" w:color="auto" w:val="clear"/>
            <w:tcMar>
              <w:top w:type="dxa" w:w="60"/>
              <w:left w:type="dxa" w:w="100"/>
              <w:bottom w:type="dxa" w:w="60"/>
              <w:right w:type="dxa" w:w="100"/>
            </w:tcMar>
          </w:tcPr>
          <w:p>
            <w:pPr>
              <w:jc w:val="left"/>
            </w:pPr>
            <w:r>
              <w:rPr>
                <w:b/>
                <w:bCs/>
                <w:sz w:val="18"/>
                <w:szCs w:val="18"/>
              </w:rPr>
              <w:t xml:space="preserve">Action</w:t>
            </w:r>
          </w:p>
        </w:tc>
      </w:tr>
      <w:tr>
        <w:tc>
          <w:tcPr>
            <w:tcW w:type="dxa" w:w="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1</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The CPU is hybrid; which core type a run lands on changes the answer.</w:t>
            </w:r>
          </w:p>
        </w:tc>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Efficiency core vs performance core at n = 256: binary search 7.3 vs 4.5 ns (+62%), fusion tree 42.7 vs 38.3 ns (+11%). At 2</w:t>
            </w:r>
            <w:r>
              <w:rPr>
                <w:vertAlign w:val="superscript"/>
              </w:rPr>
              <w:t xml:space="preserve">22</w:t>
            </w:r>
            <w:r>
              <w:t xml:space="preserve">, fusion ÷ branch-free B-tree is 2.94 on a performance core and 1.74 on an efficiency core.</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Pinning built into the benchmark (default CPU 8, a performance core); Makefile documents the core map.</w:t>
            </w:r>
          </w:p>
        </w:tc>
      </w:tr>
      <w:tr>
        <w:tc>
          <w:tcPr>
            <w:tcW w:type="dxa" w:w="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2</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The manual’s “one cache line” and “identical layout” claims are false.</w:t>
            </w:r>
          </w:p>
        </w:tc>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onsolas" w:cs="Consolas" w:eastAsia="Consolas" w:hAnsi="Consolas"/>
                <w:sz w:val="19"/>
                <w:szCs w:val="19"/>
              </w:rPr>
              <w:t xml:space="preserve">sizeof</w:t>
            </w:r>
            <w:r>
              <w:t xml:space="preserve">: B-tree node 112 B (1.75 lines), fusion node 184 B (2.9 lines). The fusion tree moves about 64% more bytes per level.</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Comment in structures.hpp corrected. Worth stating in the report.</w:t>
            </w:r>
          </w:p>
        </w:tc>
      </w:tr>
      <w:tr>
        <w:tc>
          <w:tcPr>
            <w:tcW w:type="dxa" w:w="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3</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The warm-up result was discarded (</w:t>
            </w:r>
            <w:r>
              <w:rPr>
                <w:rFonts w:ascii="Consolas" w:cs="Consolas" w:eastAsia="Consolas" w:hAnsi="Consolas"/>
                <w:sz w:val="19"/>
                <w:szCs w:val="19"/>
              </w:rPr>
              <w:t xml:space="preserve">checksum ^ sink * 0</w:t>
            </w:r>
            <w:r>
              <w:t xml:space="preserve">).</w:t>
            </w:r>
          </w:p>
        </w:tc>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GCC 16 happened to keep the warm-up loop (checked in the assembly), but nothing guaranteed it.</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Warm-up result now written to a volatile.</w:t>
            </w:r>
          </w:p>
        </w:tc>
      </w:tr>
      <w:tr>
        <w:tc>
          <w:tcPr>
            <w:tcW w:type="dxa" w:w="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4</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The B-tree baseline is not the strongest opponent.</w:t>
            </w:r>
          </w:p>
        </w:tc>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Its node scan exits early on a data-dependent branch; the comment said it “vectorises”. A fixed-count, branch-free scan is up to 2.3× faster in throughput.</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Added </w:t>
            </w:r>
            <w:r>
              <w:rPr>
                <w:rFonts w:ascii="Consolas" w:cs="Consolas" w:eastAsia="Consolas" w:hAnsi="Consolas"/>
                <w:sz w:val="19"/>
                <w:szCs w:val="19"/>
              </w:rPr>
              <w:t xml:space="preserve">BTree&lt;8, true&gt;</w:t>
            </w:r>
            <w:r>
              <w:t xml:space="preserve"> (btree8_bl), kept the original for continuity, and added it to the tests.</w:t>
            </w:r>
          </w:p>
        </w:tc>
      </w:tr>
      <w:tr>
        <w:tc>
          <w:tcPr>
            <w:tcW w:type="dxa" w:w="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5</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The harness measured throughput; the manual’s mechanism (Part II.2) is about latency.</w:t>
            </w:r>
          </w:p>
        </w:tc>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Binary search at n = 256: 4.5 ns in throughput, 13.1 ns in latency. Most of its apparent lead comes from several independent queries overlapping inside the CPU.</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Added </w:t>
            </w:r>
            <w:r>
              <w:rPr>
                <w:rFonts w:ascii="Consolas" w:cs="Consolas" w:eastAsia="Consolas" w:hAnsi="Consolas"/>
                <w:sz w:val="19"/>
                <w:szCs w:val="19"/>
              </w:rPr>
              <w:t xml:space="preserve">lat</w:t>
            </w:r>
            <w:r>
              <w:t xml:space="preserve"> mode: each query depends on the previous answer. Same queries, same checksums.</w:t>
            </w:r>
          </w:p>
        </w:tc>
      </w:tr>
      <w:tr>
        <w:tc>
          <w:tcPr>
            <w:tcW w:type="dxa" w:w="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6</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The order of runs changes the ratios.</w:t>
            </w:r>
          </w:p>
        </w:tc>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Blocked (the original order) vs shuffled, at 2</w:t>
            </w:r>
            <w:r>
              <w:rPr>
                <w:vertAlign w:val="superscript"/>
              </w:rPr>
              <w:t xml:space="preserve">22</w:t>
            </w:r>
            <w:r>
              <w:t xml:space="preserve">: B-trees +18–34%, fusion tree +11%. Blocked order reproduces 9 September to within 1% (fusion tree at 2</w:t>
            </w:r>
            <w:r>
              <w:rPr>
                <w:vertAlign w:val="superscript"/>
              </w:rPr>
              <w:t xml:space="preserve">20</w:t>
            </w:r>
            <w:r>
              <w:t xml:space="preserve">: 290.2 vs 291.0 ns).</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Order is shuffled by default; </w:t>
            </w:r>
            <w:r>
              <w:rPr>
                <w:rFonts w:ascii="Consolas" w:cs="Consolas" w:eastAsia="Consolas" w:hAnsi="Consolas"/>
                <w:sz w:val="19"/>
                <w:szCs w:val="19"/>
              </w:rPr>
              <w:t xml:space="preserve">blocked</w:t>
            </w:r>
            <w:r>
              <w:t xml:space="preserve"> is an option. The report should give both.</w:t>
            </w:r>
          </w:p>
        </w:tc>
      </w:tr>
      <w:tr>
        <w:tc>
          <w:tcPr>
            <w:tcW w:type="dxa" w:w="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7</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Experiment 1 reports “fields fit” by r, but whether fields fit depends on the node size K.</w:t>
            </w:r>
          </w:p>
        </w:tc>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Per K (2,000 random sets each): K ≤ 4 fits 100%, K = 5 23%, K = 6 8%, K ≥ 7 0%. The r = 7 window has a median of 60 bits and a maximum of 91 (the manual says 63 and 80).</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analyse.R now prints a per-K table.</w:t>
            </w:r>
          </w:p>
        </w:tc>
      </w:tr>
      <w:tr>
        <w:tc>
          <w:tcPr>
            <w:tcW w:type="dxa" w:w="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8</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Minor issues.</w:t>
            </w:r>
          </w:p>
        </w:tc>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In </w:t>
            </w:r>
            <w:r>
              <w:rPr>
                <w:rFonts w:ascii="Consolas" w:cs="Consolas" w:eastAsia="Consolas" w:hAnsi="Consolas"/>
                <w:sz w:val="19"/>
                <w:szCs w:val="19"/>
              </w:rPr>
              <w:t xml:space="preserve">find_multiplier</w:t>
            </w:r>
            <w:r>
              <w:t xml:space="preserve"> the second collision check can never fire; it is harmless. Two comments pointed to a </w:t>
            </w:r>
            <w:r>
              <w:rPr>
                <w:rFonts w:ascii="Consolas" w:cs="Consolas" w:eastAsia="Consolas" w:hAnsi="Consolas"/>
                <w:sz w:val="19"/>
                <w:szCs w:val="19"/>
              </w:rPr>
              <w:t xml:space="preserve">sketch_mult.hpp</w:t>
            </w:r>
            <w:r>
              <w:t xml:space="preserve"> that does not exist.</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Comments fixed; the dead check is noted here only.</w:t>
            </w:r>
          </w:p>
        </w:tc>
      </w:tr>
    </w:tbl>
    <w:p>
      <w:pPr>
        <w:spacing w:after="120"/>
      </w:pPr>
    </w:p>
    <w:p>
      <w:pPr>
        <w:spacing w:after="120"/>
      </w:pPr>
      <w:r>
        <w:rPr>
          <w:b/>
          <w:bCs/>
        </w:rPr>
        <w:t xml:space="preserve">A correction to my own first guess.</w:t>
      </w:r>
      <w:r>
        <w:t xml:space="preserve"> I first suspected that the 9 September “lab” run was pinned to an efficiency core. The data rules that out: that run gave binary search 4.5 ns at n = 256, the performance-core figure. The run was on a performance core; its large-n numbers differ from today’s because of run order (finding 6).</w:t>
      </w:r>
    </w:p>
    <w:p>
      <w:pPr>
        <w:pStyle w:val="Heading1"/>
        <w:keepNext/>
      </w:pPr>
      <w:r>
        <w:t xml:space="preserve">5. Code changes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4"/>
              <w:left w:val="single" w:color="BFBFBF" w:sz="4"/>
              <w:bottom w:val="single" w:color="BFBFBF" w:sz="4"/>
              <w:right w:val="single" w:color="BFBFBF" w:sz="4"/>
            </w:tcBorders>
            <w:shd w:fill="E8EEF4" w:color="auto" w:val="clear"/>
            <w:tcMar>
              <w:top w:type="dxa" w:w="60"/>
              <w:left w:type="dxa" w:w="100"/>
              <w:bottom w:type="dxa" w:w="60"/>
              <w:right w:type="dxa" w:w="100"/>
            </w:tcMar>
          </w:tcPr>
          <w:p>
            <w:pPr>
              <w:jc w:val="left"/>
            </w:pPr>
            <w:r>
              <w:rPr>
                <w:b/>
                <w:bCs/>
                <w:sz w:val="18"/>
                <w:szCs w:val="18"/>
              </w:rPr>
              <w:t xml:space="preserve">File</w:t>
            </w:r>
          </w:p>
        </w:tc>
        <w:tc>
          <w:tcPr>
            <w:tcW w:type="dxa" w:w="6760"/>
            <w:tcBorders>
              <w:top w:val="single" w:color="BFBFBF" w:sz="4"/>
              <w:left w:val="single" w:color="BFBFBF" w:sz="4"/>
              <w:bottom w:val="single" w:color="BFBFBF" w:sz="4"/>
              <w:right w:val="single" w:color="BFBFBF" w:sz="4"/>
            </w:tcBorders>
            <w:shd w:fill="E8EEF4" w:color="auto" w:val="clear"/>
            <w:tcMar>
              <w:top w:type="dxa" w:w="60"/>
              <w:left w:type="dxa" w:w="100"/>
              <w:bottom w:type="dxa" w:w="60"/>
              <w:right w:type="dxa" w:w="100"/>
            </w:tcMar>
          </w:tcPr>
          <w:p>
            <w:pPr>
              <w:jc w:val="left"/>
            </w:pPr>
            <w:r>
              <w:rPr>
                <w:b/>
                <w:bCs/>
                <w:sz w:val="18"/>
                <w:szCs w:val="18"/>
              </w:rPr>
              <w:t xml:space="preserve">Change</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bench/bench_pred.cpp</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Volatile warm-up sink; </w:t>
            </w:r>
            <w:r>
              <w:rPr>
                <w:rFonts w:ascii="Consolas" w:cs="Consolas" w:eastAsia="Consolas" w:hAnsi="Consolas"/>
                <w:sz w:val="19"/>
                <w:szCs w:val="19"/>
              </w:rPr>
              <w:t xml:space="preserve">[cpu]</w:t>
            </w:r>
            <w:r>
              <w:t xml:space="preserve"> argument with in-program pinning (Windows and Linux); </w:t>
            </w:r>
            <w:r>
              <w:rPr>
                <w:rFonts w:ascii="Consolas" w:cs="Consolas" w:eastAsia="Consolas" w:hAnsi="Consolas"/>
                <w:sz w:val="19"/>
                <w:szCs w:val="19"/>
              </w:rPr>
              <w:t xml:space="preserve">tput</w:t>
            </w:r>
            <w:r>
              <w:t xml:space="preserve">/</w:t>
            </w:r>
            <w:r>
              <w:rPr>
                <w:rFonts w:ascii="Consolas" w:cs="Consolas" w:eastAsia="Consolas" w:hAnsi="Consolas"/>
                <w:sz w:val="19"/>
                <w:szCs w:val="19"/>
              </w:rPr>
              <w:t xml:space="preserve">lat</w:t>
            </w:r>
            <w:r>
              <w:t xml:space="preserve"> modes; </w:t>
            </w:r>
            <w:r>
              <w:rPr>
                <w:rFonts w:ascii="Consolas" w:cs="Consolas" w:eastAsia="Consolas" w:hAnsi="Consolas"/>
                <w:sz w:val="19"/>
                <w:szCs w:val="19"/>
              </w:rPr>
              <w:t xml:space="preserve">shuffled</w:t>
            </w:r>
            <w:r>
              <w:t xml:space="preserve">/</w:t>
            </w:r>
            <w:r>
              <w:rPr>
                <w:rFonts w:ascii="Consolas" w:cs="Consolas" w:eastAsia="Consolas" w:hAnsi="Consolas"/>
                <w:sz w:val="19"/>
                <w:szCs w:val="19"/>
              </w:rPr>
              <w:t xml:space="preserve">blocked</w:t>
            </w:r>
            <w:r>
              <w:t xml:space="preserve"> order; branch-free B-tree added; keys generated by draw-sort-dedupe, which uses the same random draws as before (identical keys and checksums) and is fast enough for 2</w:t>
            </w:r>
            <w:r>
              <w:rPr>
                <w:vertAlign w:val="superscript"/>
              </w:rPr>
              <w:t xml:space="preserve">25</w:t>
            </w:r>
            <w:r>
              <w:t xml:space="preserve">.</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include/structures.hpp</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onsolas" w:cs="Consolas" w:eastAsia="Consolas" w:hAnsi="Consolas"/>
                <w:sz w:val="19"/>
                <w:szCs w:val="19"/>
              </w:rPr>
              <w:t xml:space="preserve">BTree&lt;B, Branchless&gt;</w:t>
            </w:r>
            <w:r>
              <w:t xml:space="preserve"> template parameter; node-size comment corrected.</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tests/test_structures.cpp</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Also checks the branch-free B-tree (3.6M → 4.8M checks).</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Makefile</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onsolas" w:cs="Consolas" w:eastAsia="Consolas" w:hAnsi="Consolas"/>
                <w:sz w:val="19"/>
                <w:szCs w:val="19"/>
              </w:rPr>
              <w:t xml:space="preserve">test-loop</w:t>
            </w:r>
            <w:r>
              <w:t xml:space="preserve">, </w:t>
            </w:r>
            <w:r>
              <w:rPr>
                <w:rFonts w:ascii="Consolas" w:cs="Consolas" w:eastAsia="Consolas" w:hAnsi="Consolas"/>
                <w:sz w:val="19"/>
                <w:szCs w:val="19"/>
              </w:rPr>
              <w:t xml:space="preserve">bench-lat</w:t>
            </w:r>
            <w:r>
              <w:t xml:space="preserve">, </w:t>
            </w:r>
            <w:r>
              <w:rPr>
                <w:rFonts w:ascii="Consolas" w:cs="Consolas" w:eastAsia="Consolas" w:hAnsi="Consolas"/>
                <w:sz w:val="19"/>
                <w:szCs w:val="19"/>
              </w:rPr>
              <w:t xml:space="preserve">bench-loop</w:t>
            </w:r>
            <w:r>
              <w:t xml:space="preserve"> targets; </w:t>
            </w:r>
            <w:r>
              <w:rPr>
                <w:rFonts w:ascii="Consolas" w:cs="Consolas" w:eastAsia="Consolas" w:hAnsi="Consolas"/>
                <w:sz w:val="19"/>
                <w:szCs w:val="19"/>
              </w:rPr>
              <w:t xml:space="preserve">CPU</w:t>
            </w:r>
            <w:r>
              <w:t xml:space="preserve">, </w:t>
            </w:r>
            <w:r>
              <w:rPr>
                <w:rFonts w:ascii="Consolas" w:cs="Consolas" w:eastAsia="Consolas" w:hAnsi="Consolas"/>
                <w:sz w:val="19"/>
                <w:szCs w:val="19"/>
              </w:rPr>
              <w:t xml:space="preserve">REPS</w:t>
            </w:r>
            <w:r>
              <w:t xml:space="preserve">, </w:t>
            </w:r>
            <w:r>
              <w:rPr>
                <w:rFonts w:ascii="Consolas" w:cs="Consolas" w:eastAsia="Consolas" w:hAnsi="Consolas"/>
                <w:sz w:val="19"/>
                <w:szCs w:val="19"/>
              </w:rPr>
              <w:t xml:space="preserve">MAXLOG</w:t>
            </w:r>
            <w:r>
              <w:t xml:space="preserve"> variables; core-map note.</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analysis/analyse.R</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Tagged inputs; stops if checksums disagree; bootstrap 95% intervals on every ratio; a crossover is reported only when the slope’s 95% interval excludes zero; per-K fit table; log-scale plots.</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results/machine.txt</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Written (it was empty).</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include/*.hpp comments, README.md</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Stale references fixed; README documents the new targets and the Windows build.</w:t>
            </w:r>
          </w:p>
        </w:tc>
      </w:tr>
    </w:tbl>
    <w:p>
      <w:pPr>
        <w:pStyle w:val="Heading1"/>
        <w:keepNext/>
      </w:pPr>
      <w:r>
        <w:t xml:space="preserve">6. Measurements</w:t>
      </w:r>
    </w:p>
    <w:p>
      <w:pPr>
        <w:spacing w:after="120"/>
      </w:pPr>
      <w:r>
        <w:t xml:space="preserve">Conditions: performance core 8, pinned; 15 repetitions; 65,536 random queries per repetition; median reported. g++ 16.1.0 -O3 -march=native; PEXT sketch unless noted; shuffled order unless noted. Turbo on, Balanced power plan. </w:t>
      </w:r>
      <w:r>
        <w:rPr>
          <w:b/>
          <w:bCs/>
        </w:rPr>
        <w:t xml:space="preserve">The machine was not idle</w:t>
      </w:r>
      <w:r>
        <w:t xml:space="preserve"> (this session was running), so these are good indications, not final data.</w:t>
      </w:r>
    </w:p>
    <w:p>
      <w:pPr>
        <w:pStyle w:val="Heading2"/>
        <w:keepNext/>
      </w:pPr>
      <w:r>
        <w:t xml:space="preserve">6.1 Throughput (independent queries)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250"/>
        <w:gridCol w:w="1150"/>
        <w:gridCol w:w="1600"/>
        <w:gridCol w:w="1100"/>
        <w:gridCol w:w="1700"/>
        <w:gridCol w:w="1660"/>
      </w:tblGrid>
      <w:tr>
        <w:trPr>
          <w:tblHeader/>
        </w:trPr>
        <w:tc>
          <w:tcPr>
            <w:tcW w:type="dxa" w:w="900"/>
            <w:tcBorders>
              <w:top w:val="single" w:color="BFBFBF" w:sz="4"/>
              <w:left w:val="single" w:color="BFBFBF" w:sz="4"/>
              <w:bottom w:val="single" w:color="BFBFBF" w:sz="4"/>
              <w:right w:val="single" w:color="BFBFBF" w:sz="4"/>
            </w:tcBorders>
            <w:shd w:fill="E8EEF4" w:color="auto" w:val="clear"/>
            <w:tcMar>
              <w:top w:type="dxa" w:w="60"/>
              <w:left w:type="dxa" w:w="100"/>
              <w:bottom w:type="dxa" w:w="60"/>
              <w:right w:type="dxa" w:w="100"/>
            </w:tcMar>
          </w:tcPr>
          <w:p>
            <w:pPr>
              <w:jc w:val="left"/>
            </w:pPr>
            <w:r>
              <w:rPr>
                <w:b/>
                <w:bCs/>
                <w:sz w:val="18"/>
                <w:szCs w:val="18"/>
              </w:rPr>
              <w:t xml:space="preserve">n</w:t>
            </w:r>
          </w:p>
        </w:tc>
        <w:tc>
          <w:tcPr>
            <w:tcW w:type="dxa" w:w="1250"/>
            <w:tcBorders>
              <w:top w:val="single" w:color="BFBFBF" w:sz="4"/>
              <w:left w:val="single" w:color="BFBFBF" w:sz="4"/>
              <w:bottom w:val="single" w:color="BFBFBF" w:sz="4"/>
              <w:right w:val="single" w:color="BFBFBF" w:sz="4"/>
            </w:tcBorders>
            <w:shd w:fill="E8EEF4" w:color="auto" w:val="clear"/>
            <w:tcMar>
              <w:top w:type="dxa" w:w="60"/>
              <w:left w:type="dxa" w:w="100"/>
              <w:bottom w:type="dxa" w:w="60"/>
              <w:right w:type="dxa" w:w="100"/>
            </w:tcMar>
          </w:tcPr>
          <w:p>
            <w:pPr>
              <w:jc w:val="right"/>
            </w:pPr>
            <w:r>
              <w:rPr>
                <w:b/>
                <w:bCs/>
                <w:sz w:val="18"/>
                <w:szCs w:val="18"/>
              </w:rPr>
              <w:t xml:space="preserve">binary search</w:t>
            </w:r>
          </w:p>
        </w:tc>
        <w:tc>
          <w:tcPr>
            <w:tcW w:type="dxa" w:w="1150"/>
            <w:tcBorders>
              <w:top w:val="single" w:color="BFBFBF" w:sz="4"/>
              <w:left w:val="single" w:color="BFBFBF" w:sz="4"/>
              <w:bottom w:val="single" w:color="BFBFBF" w:sz="4"/>
              <w:right w:val="single" w:color="BFBFBF" w:sz="4"/>
            </w:tcBorders>
            <w:shd w:fill="E8EEF4" w:color="auto" w:val="clear"/>
            <w:tcMar>
              <w:top w:type="dxa" w:w="60"/>
              <w:left w:type="dxa" w:w="100"/>
              <w:bottom w:type="dxa" w:w="60"/>
              <w:right w:type="dxa" w:w="100"/>
            </w:tcMar>
          </w:tcPr>
          <w:p>
            <w:pPr>
              <w:jc w:val="right"/>
            </w:pPr>
            <w:r>
              <w:rPr>
                <w:b/>
                <w:bCs/>
                <w:sz w:val="18"/>
                <w:szCs w:val="18"/>
              </w:rPr>
              <w:t xml:space="preserve">B-tree</w:t>
            </w:r>
          </w:p>
        </w:tc>
        <w:tc>
          <w:tcPr>
            <w:tcW w:type="dxa" w:w="1600"/>
            <w:tcBorders>
              <w:top w:val="single" w:color="BFBFBF" w:sz="4"/>
              <w:left w:val="single" w:color="BFBFBF" w:sz="4"/>
              <w:bottom w:val="single" w:color="BFBFBF" w:sz="4"/>
              <w:right w:val="single" w:color="BFBFBF" w:sz="4"/>
            </w:tcBorders>
            <w:shd w:fill="E8EEF4" w:color="auto" w:val="clear"/>
            <w:tcMar>
              <w:top w:type="dxa" w:w="60"/>
              <w:left w:type="dxa" w:w="100"/>
              <w:bottom w:type="dxa" w:w="60"/>
              <w:right w:type="dxa" w:w="100"/>
            </w:tcMar>
          </w:tcPr>
          <w:p>
            <w:pPr>
              <w:jc w:val="right"/>
            </w:pPr>
            <w:r>
              <w:rPr>
                <w:b/>
                <w:bCs/>
                <w:sz w:val="18"/>
                <w:szCs w:val="18"/>
              </w:rPr>
              <w:t xml:space="preserve">B-tree (branch-free)</w:t>
            </w:r>
          </w:p>
        </w:tc>
        <w:tc>
          <w:tcPr>
            <w:tcW w:type="dxa" w:w="1100"/>
            <w:tcBorders>
              <w:top w:val="single" w:color="BFBFBF" w:sz="4"/>
              <w:left w:val="single" w:color="BFBFBF" w:sz="4"/>
              <w:bottom w:val="single" w:color="BFBFBF" w:sz="4"/>
              <w:right w:val="single" w:color="BFBFBF" w:sz="4"/>
            </w:tcBorders>
            <w:shd w:fill="E8EEF4" w:color="auto" w:val="clear"/>
            <w:tcMar>
              <w:top w:type="dxa" w:w="60"/>
              <w:left w:type="dxa" w:w="100"/>
              <w:bottom w:type="dxa" w:w="60"/>
              <w:right w:type="dxa" w:w="100"/>
            </w:tcMar>
          </w:tcPr>
          <w:p>
            <w:pPr>
              <w:jc w:val="right"/>
            </w:pPr>
            <w:r>
              <w:rPr>
                <w:b/>
                <w:bCs/>
                <w:sz w:val="18"/>
                <w:szCs w:val="18"/>
              </w:rPr>
              <w:t xml:space="preserve">fusion</w:t>
            </w:r>
          </w:p>
        </w:tc>
        <w:tc>
          <w:tcPr>
            <w:tcW w:type="dxa" w:w="1700"/>
            <w:tcBorders>
              <w:top w:val="single" w:color="BFBFBF" w:sz="4"/>
              <w:left w:val="single" w:color="BFBFBF" w:sz="4"/>
              <w:bottom w:val="single" w:color="BFBFBF" w:sz="4"/>
              <w:right w:val="single" w:color="BFBFBF" w:sz="4"/>
            </w:tcBorders>
            <w:shd w:fill="E8EEF4" w:color="auto" w:val="clear"/>
            <w:tcMar>
              <w:top w:type="dxa" w:w="60"/>
              <w:left w:type="dxa" w:w="100"/>
              <w:bottom w:type="dxa" w:w="60"/>
              <w:right w:type="dxa" w:w="100"/>
            </w:tcMar>
          </w:tcPr>
          <w:p>
            <w:pPr>
              <w:jc w:val="right"/>
            </w:pPr>
            <w:r>
              <w:rPr>
                <w:b/>
                <w:bCs/>
                <w:sz w:val="18"/>
                <w:szCs w:val="18"/>
              </w:rPr>
              <w:t xml:space="preserve">fusion ÷ BF B-tree</w:t>
            </w:r>
          </w:p>
        </w:tc>
        <w:tc>
          <w:tcPr>
            <w:tcW w:type="dxa" w:w="1660"/>
            <w:tcBorders>
              <w:top w:val="single" w:color="BFBFBF" w:sz="4"/>
              <w:left w:val="single" w:color="BFBFBF" w:sz="4"/>
              <w:bottom w:val="single" w:color="BFBFBF" w:sz="4"/>
              <w:right w:val="single" w:color="BFBFBF" w:sz="4"/>
            </w:tcBorders>
            <w:shd w:fill="E8EEF4" w:color="auto" w:val="clear"/>
            <w:tcMar>
              <w:top w:type="dxa" w:w="60"/>
              <w:left w:type="dxa" w:w="100"/>
              <w:bottom w:type="dxa" w:w="60"/>
              <w:right w:type="dxa" w:w="100"/>
            </w:tcMar>
          </w:tcPr>
          <w:p>
            <w:pPr>
              <w:jc w:val="right"/>
            </w:pPr>
            <w:r>
              <w:rPr>
                <w:b/>
                <w:bCs/>
                <w:sz w:val="18"/>
                <w:szCs w:val="18"/>
              </w:rPr>
              <w:t xml:space="preserve">fusion ÷ binary</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2</w:t>
            </w:r>
            <w:r>
              <w:rPr>
                <w:vertAlign w:val="superscript"/>
              </w:rPr>
              <w:t xml:space="preserve">8</w:t>
            </w: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t xml:space="preserve">4.5</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t xml:space="preserve">20.9</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t xml:space="preserve">17.7</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t xml:space="preserve">38.3</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t xml:space="preserve">2.16</w:t>
            </w:r>
          </w:p>
        </w:tc>
        <w:tc>
          <w:tcPr>
            <w:tcW w:type="dxa" w:w="1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t xml:space="preserve">8.5</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2</w:t>
            </w:r>
            <w:r>
              <w:rPr>
                <w:vertAlign w:val="superscript"/>
              </w:rPr>
              <w:t xml:space="preserve">12</w:t>
            </w: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t xml:space="preserve">7.3</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t xml:space="preserve">34.1</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t xml:space="preserve">19.4</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t xml:space="preserve">53.3</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t xml:space="preserve">2.75</w:t>
            </w:r>
          </w:p>
        </w:tc>
        <w:tc>
          <w:tcPr>
            <w:tcW w:type="dxa" w:w="1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t xml:space="preserve">7.3</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2</w:t>
            </w:r>
            <w:r>
              <w:rPr>
                <w:vertAlign w:val="superscript"/>
              </w:rPr>
              <w:t xml:space="preserve">16</w:t>
            </w: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t xml:space="preserve">21.8</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t xml:space="preserve">57.3</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t xml:space="preserve">34.0</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t xml:space="preserve">97.6</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t xml:space="preserve">2.87</w:t>
            </w:r>
          </w:p>
        </w:tc>
        <w:tc>
          <w:tcPr>
            <w:tcW w:type="dxa" w:w="1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t xml:space="preserve">4.48</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2</w:t>
            </w:r>
            <w:r>
              <w:rPr>
                <w:vertAlign w:val="superscript"/>
              </w:rPr>
              <w:t xml:space="preserve">20</w:t>
            </w: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t xml:space="preserve">100.5</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t xml:space="preserve">247.3</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t xml:space="preserve">143.7</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t xml:space="preserve">375.9</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t xml:space="preserve">2.62</w:t>
            </w:r>
          </w:p>
        </w:tc>
        <w:tc>
          <w:tcPr>
            <w:tcW w:type="dxa" w:w="1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t xml:space="preserve">3.74</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2</w:t>
            </w:r>
            <w:r>
              <w:rPr>
                <w:vertAlign w:val="superscript"/>
              </w:rPr>
              <w:t xml:space="preserve">22</w:t>
            </w: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t xml:space="preserve">267.3</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t xml:space="preserve">266.1</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t xml:space="preserve">131.4</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t xml:space="preserve">385.8</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t xml:space="preserve">2.94</w:t>
            </w:r>
          </w:p>
        </w:tc>
        <w:tc>
          <w:tcPr>
            <w:tcW w:type="dxa" w:w="1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t xml:space="preserve">1.44</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2</w:t>
            </w:r>
            <w:r>
              <w:rPr>
                <w:vertAlign w:val="superscript"/>
              </w:rPr>
              <w:t xml:space="preserve">24</w:t>
            </w: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t xml:space="preserve">631.8</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t xml:space="preserve">425.9</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t xml:space="preserve">221.1</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t xml:space="preserve">610.6</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t xml:space="preserve">2.76</w:t>
            </w:r>
          </w:p>
        </w:tc>
        <w:tc>
          <w:tcPr>
            <w:tcW w:type="dxa" w:w="1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bCs/>
              </w:rPr>
              <w:t xml:space="preserve">0.97</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2</w:t>
            </w:r>
            <w:r>
              <w:rPr>
                <w:vertAlign w:val="superscript"/>
              </w:rPr>
              <w:t xml:space="preserve">25</w:t>
            </w: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t xml:space="preserve">727.4</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t xml:space="preserve">461.7</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t xml:space="preserve">205.6</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t xml:space="preserve">618.9</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t xml:space="preserve">3.01</w:t>
            </w:r>
          </w:p>
        </w:tc>
        <w:tc>
          <w:tcPr>
            <w:tcW w:type="dxa" w:w="1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bCs/>
              </w:rPr>
              <w:t xml:space="preserve">0.85</w:t>
            </w:r>
          </w:p>
        </w:tc>
      </w:tr>
    </w:tbl>
    <w:p>
      <w:pPr>
        <w:spacing w:after="200" w:before="60"/>
      </w:pPr>
      <w:r>
        <w:rPr>
          <w:i/>
          <w:iCs/>
          <w:color w:val="555555"/>
          <w:sz w:val="18"/>
          <w:szCs w:val="18"/>
        </w:rPr>
        <w:t xml:space="preserve">Median ns per query. Ratio model vs branch-free B-tree: slope +0.041 per doubling, 95% CI [+0.008, +0.074]. The gap widens, so no crossover is implied.</w:t>
      </w:r>
    </w:p>
    <w:p>
      <w:pPr>
        <w:jc w:val="center"/>
      </w:pPr>
      <w:r>
        <w:drawing>
          <wp:inline distT="0" distB="0" distL="0" distR="0">
            <wp:extent cx="5524500" cy="3552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524500" cy="3552825"/>
                    </a:xfrm>
                    <a:prstGeom prst="rect">
                      <a:avLst/>
                    </a:prstGeom>
                  </pic:spPr>
                </pic:pic>
              </a:graphicData>
            </a:graphic>
          </wp:inline>
        </w:drawing>
      </w:r>
    </w:p>
    <w:p>
      <w:pPr>
        <w:spacing w:after="200" w:before="60"/>
      </w:pPr>
      <w:r>
        <w:rPr>
          <w:i/>
          <w:iCs/>
          <w:color w:val="555555"/>
          <w:sz w:val="18"/>
          <w:szCs w:val="18"/>
        </w:rPr>
        <w:t xml:space="preserve">Figure 1. Throughput: fusion time ÷ each baseline, with bootstrap 95% bands. Only the binary-search curve crosses 1.0.</w:t>
      </w:r>
    </w:p>
    <w:p>
      <w:pPr>
        <w:pStyle w:val="Heading2"/>
        <w:keepNext/>
      </w:pPr>
      <w:r>
        <w:t xml:space="preserve">6.2 Latency (each query waits for the previous answer)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250"/>
        <w:gridCol w:w="1150"/>
        <w:gridCol w:w="1600"/>
        <w:gridCol w:w="1100"/>
        <w:gridCol w:w="1700"/>
        <w:gridCol w:w="1660"/>
      </w:tblGrid>
      <w:tr>
        <w:trPr>
          <w:tblHeader/>
        </w:trPr>
        <w:tc>
          <w:tcPr>
            <w:tcW w:type="dxa" w:w="900"/>
            <w:tcBorders>
              <w:top w:val="single" w:color="BFBFBF" w:sz="4"/>
              <w:left w:val="single" w:color="BFBFBF" w:sz="4"/>
              <w:bottom w:val="single" w:color="BFBFBF" w:sz="4"/>
              <w:right w:val="single" w:color="BFBFBF" w:sz="4"/>
            </w:tcBorders>
            <w:shd w:fill="E8EEF4" w:color="auto" w:val="clear"/>
            <w:tcMar>
              <w:top w:type="dxa" w:w="60"/>
              <w:left w:type="dxa" w:w="100"/>
              <w:bottom w:type="dxa" w:w="60"/>
              <w:right w:type="dxa" w:w="100"/>
            </w:tcMar>
          </w:tcPr>
          <w:p>
            <w:pPr>
              <w:jc w:val="left"/>
            </w:pPr>
            <w:r>
              <w:rPr>
                <w:b/>
                <w:bCs/>
                <w:sz w:val="18"/>
                <w:szCs w:val="18"/>
              </w:rPr>
              <w:t xml:space="preserve">n</w:t>
            </w:r>
          </w:p>
        </w:tc>
        <w:tc>
          <w:tcPr>
            <w:tcW w:type="dxa" w:w="1250"/>
            <w:tcBorders>
              <w:top w:val="single" w:color="BFBFBF" w:sz="4"/>
              <w:left w:val="single" w:color="BFBFBF" w:sz="4"/>
              <w:bottom w:val="single" w:color="BFBFBF" w:sz="4"/>
              <w:right w:val="single" w:color="BFBFBF" w:sz="4"/>
            </w:tcBorders>
            <w:shd w:fill="E8EEF4" w:color="auto" w:val="clear"/>
            <w:tcMar>
              <w:top w:type="dxa" w:w="60"/>
              <w:left w:type="dxa" w:w="100"/>
              <w:bottom w:type="dxa" w:w="60"/>
              <w:right w:type="dxa" w:w="100"/>
            </w:tcMar>
          </w:tcPr>
          <w:p>
            <w:pPr>
              <w:jc w:val="right"/>
            </w:pPr>
            <w:r>
              <w:rPr>
                <w:b/>
                <w:bCs/>
                <w:sz w:val="18"/>
                <w:szCs w:val="18"/>
              </w:rPr>
              <w:t xml:space="preserve">binary search</w:t>
            </w:r>
          </w:p>
        </w:tc>
        <w:tc>
          <w:tcPr>
            <w:tcW w:type="dxa" w:w="1150"/>
            <w:tcBorders>
              <w:top w:val="single" w:color="BFBFBF" w:sz="4"/>
              <w:left w:val="single" w:color="BFBFBF" w:sz="4"/>
              <w:bottom w:val="single" w:color="BFBFBF" w:sz="4"/>
              <w:right w:val="single" w:color="BFBFBF" w:sz="4"/>
            </w:tcBorders>
            <w:shd w:fill="E8EEF4" w:color="auto" w:val="clear"/>
            <w:tcMar>
              <w:top w:type="dxa" w:w="60"/>
              <w:left w:type="dxa" w:w="100"/>
              <w:bottom w:type="dxa" w:w="60"/>
              <w:right w:type="dxa" w:w="100"/>
            </w:tcMar>
          </w:tcPr>
          <w:p>
            <w:pPr>
              <w:jc w:val="right"/>
            </w:pPr>
            <w:r>
              <w:rPr>
                <w:b/>
                <w:bCs/>
                <w:sz w:val="18"/>
                <w:szCs w:val="18"/>
              </w:rPr>
              <w:t xml:space="preserve">B-tree</w:t>
            </w:r>
          </w:p>
        </w:tc>
        <w:tc>
          <w:tcPr>
            <w:tcW w:type="dxa" w:w="1600"/>
            <w:tcBorders>
              <w:top w:val="single" w:color="BFBFBF" w:sz="4"/>
              <w:left w:val="single" w:color="BFBFBF" w:sz="4"/>
              <w:bottom w:val="single" w:color="BFBFBF" w:sz="4"/>
              <w:right w:val="single" w:color="BFBFBF" w:sz="4"/>
            </w:tcBorders>
            <w:shd w:fill="E8EEF4" w:color="auto" w:val="clear"/>
            <w:tcMar>
              <w:top w:type="dxa" w:w="60"/>
              <w:left w:type="dxa" w:w="100"/>
              <w:bottom w:type="dxa" w:w="60"/>
              <w:right w:type="dxa" w:w="100"/>
            </w:tcMar>
          </w:tcPr>
          <w:p>
            <w:pPr>
              <w:jc w:val="right"/>
            </w:pPr>
            <w:r>
              <w:rPr>
                <w:b/>
                <w:bCs/>
                <w:sz w:val="18"/>
                <w:szCs w:val="18"/>
              </w:rPr>
              <w:t xml:space="preserve">B-tree (branch-free)</w:t>
            </w:r>
          </w:p>
        </w:tc>
        <w:tc>
          <w:tcPr>
            <w:tcW w:type="dxa" w:w="1100"/>
            <w:tcBorders>
              <w:top w:val="single" w:color="BFBFBF" w:sz="4"/>
              <w:left w:val="single" w:color="BFBFBF" w:sz="4"/>
              <w:bottom w:val="single" w:color="BFBFBF" w:sz="4"/>
              <w:right w:val="single" w:color="BFBFBF" w:sz="4"/>
            </w:tcBorders>
            <w:shd w:fill="E8EEF4" w:color="auto" w:val="clear"/>
            <w:tcMar>
              <w:top w:type="dxa" w:w="60"/>
              <w:left w:type="dxa" w:w="100"/>
              <w:bottom w:type="dxa" w:w="60"/>
              <w:right w:type="dxa" w:w="100"/>
            </w:tcMar>
          </w:tcPr>
          <w:p>
            <w:pPr>
              <w:jc w:val="right"/>
            </w:pPr>
            <w:r>
              <w:rPr>
                <w:b/>
                <w:bCs/>
                <w:sz w:val="18"/>
                <w:szCs w:val="18"/>
              </w:rPr>
              <w:t xml:space="preserve">fusion</w:t>
            </w:r>
          </w:p>
        </w:tc>
        <w:tc>
          <w:tcPr>
            <w:tcW w:type="dxa" w:w="1700"/>
            <w:tcBorders>
              <w:top w:val="single" w:color="BFBFBF" w:sz="4"/>
              <w:left w:val="single" w:color="BFBFBF" w:sz="4"/>
              <w:bottom w:val="single" w:color="BFBFBF" w:sz="4"/>
              <w:right w:val="single" w:color="BFBFBF" w:sz="4"/>
            </w:tcBorders>
            <w:shd w:fill="E8EEF4" w:color="auto" w:val="clear"/>
            <w:tcMar>
              <w:top w:type="dxa" w:w="60"/>
              <w:left w:type="dxa" w:w="100"/>
              <w:bottom w:type="dxa" w:w="60"/>
              <w:right w:type="dxa" w:w="100"/>
            </w:tcMar>
          </w:tcPr>
          <w:p>
            <w:pPr>
              <w:jc w:val="right"/>
            </w:pPr>
            <w:r>
              <w:rPr>
                <w:b/>
                <w:bCs/>
                <w:sz w:val="18"/>
                <w:szCs w:val="18"/>
              </w:rPr>
              <w:t xml:space="preserve">fusion ÷ BF B-tree</w:t>
            </w:r>
          </w:p>
        </w:tc>
        <w:tc>
          <w:tcPr>
            <w:tcW w:type="dxa" w:w="1660"/>
            <w:tcBorders>
              <w:top w:val="single" w:color="BFBFBF" w:sz="4"/>
              <w:left w:val="single" w:color="BFBFBF" w:sz="4"/>
              <w:bottom w:val="single" w:color="BFBFBF" w:sz="4"/>
              <w:right w:val="single" w:color="BFBFBF" w:sz="4"/>
            </w:tcBorders>
            <w:shd w:fill="E8EEF4" w:color="auto" w:val="clear"/>
            <w:tcMar>
              <w:top w:type="dxa" w:w="60"/>
              <w:left w:type="dxa" w:w="100"/>
              <w:bottom w:type="dxa" w:w="60"/>
              <w:right w:type="dxa" w:w="100"/>
            </w:tcMar>
          </w:tcPr>
          <w:p>
            <w:pPr>
              <w:jc w:val="right"/>
            </w:pPr>
            <w:r>
              <w:rPr>
                <w:b/>
                <w:bCs/>
                <w:sz w:val="18"/>
                <w:szCs w:val="18"/>
              </w:rPr>
              <w:t xml:space="preserve">fusion ÷ binary</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2</w:t>
            </w:r>
            <w:r>
              <w:rPr>
                <w:vertAlign w:val="superscript"/>
              </w:rPr>
              <w:t xml:space="preserve">8</w:t>
            </w: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t xml:space="preserve">13.1</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t xml:space="preserve">21.4</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t xml:space="preserve">27.2</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t xml:space="preserve">40.3</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t xml:space="preserve">1.48</w:t>
            </w:r>
          </w:p>
        </w:tc>
        <w:tc>
          <w:tcPr>
            <w:tcW w:type="dxa" w:w="1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t xml:space="preserve">3.08</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2</w:t>
            </w:r>
            <w:r>
              <w:rPr>
                <w:vertAlign w:val="superscript"/>
              </w:rPr>
              <w:t xml:space="preserve">12</w:t>
            </w: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t xml:space="preserve">18.7</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t xml:space="preserve">34.3</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t xml:space="preserve">35.8</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t xml:space="preserve">57.3</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t xml:space="preserve">1.60</w:t>
            </w:r>
          </w:p>
        </w:tc>
        <w:tc>
          <w:tcPr>
            <w:tcW w:type="dxa" w:w="1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t xml:space="preserve">3.06</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2</w:t>
            </w:r>
            <w:r>
              <w:rPr>
                <w:vertAlign w:val="superscript"/>
              </w:rPr>
              <w:t xml:space="preserve">16</w:t>
            </w: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t xml:space="preserve">48.8</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t xml:space="preserve">56.6</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t xml:space="preserve">60.4</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t xml:space="preserve">93.8</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t xml:space="preserve">1.55</w:t>
            </w:r>
          </w:p>
        </w:tc>
        <w:tc>
          <w:tcPr>
            <w:tcW w:type="dxa" w:w="1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t xml:space="preserve">1.92</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2</w:t>
            </w:r>
            <w:r>
              <w:rPr>
                <w:vertAlign w:val="superscript"/>
              </w:rPr>
              <w:t xml:space="preserve">20</w:t>
            </w: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t xml:space="preserve">225.7</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t xml:space="preserve">267.5</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t xml:space="preserve">256.6</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t xml:space="preserve">371.6</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t xml:space="preserve">1.45</w:t>
            </w:r>
          </w:p>
        </w:tc>
        <w:tc>
          <w:tcPr>
            <w:tcW w:type="dxa" w:w="1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t xml:space="preserve">1.65</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2</w:t>
            </w:r>
            <w:r>
              <w:rPr>
                <w:vertAlign w:val="superscript"/>
              </w:rPr>
              <w:t xml:space="preserve">22</w:t>
            </w: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t xml:space="preserve">571.4</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t xml:space="preserve">285.2</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t xml:space="preserve">312.1</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t xml:space="preserve">382.6</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t xml:space="preserve">1.23</w:t>
            </w:r>
          </w:p>
        </w:tc>
        <w:tc>
          <w:tcPr>
            <w:tcW w:type="dxa" w:w="1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bCs/>
              </w:rPr>
              <w:t xml:space="preserve">0.67</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2</w:t>
            </w:r>
            <w:r>
              <w:rPr>
                <w:vertAlign w:val="superscript"/>
              </w:rPr>
              <w:t xml:space="preserve">24</w:t>
            </w: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t xml:space="preserve">1252.9</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t xml:space="preserve">498.8</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t xml:space="preserve">511.4</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t xml:space="preserve">615.6</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t xml:space="preserve">1.20</w:t>
            </w:r>
          </w:p>
        </w:tc>
        <w:tc>
          <w:tcPr>
            <w:tcW w:type="dxa" w:w="1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bCs/>
              </w:rPr>
              <w:t xml:space="preserve">0.49</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2</w:t>
            </w:r>
            <w:r>
              <w:rPr>
                <w:vertAlign w:val="superscript"/>
              </w:rPr>
              <w:t xml:space="preserve">25</w:t>
            </w: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t xml:space="preserve">1435.2</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t xml:space="preserve">492.2</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t xml:space="preserve">520.8</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t xml:space="preserve">625.7</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t xml:space="preserve">1.20</w:t>
            </w:r>
          </w:p>
        </w:tc>
        <w:tc>
          <w:tcPr>
            <w:tcW w:type="dxa" w:w="1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bCs/>
              </w:rPr>
              <w:t xml:space="preserve">0.44</w:t>
            </w:r>
          </w:p>
        </w:tc>
      </w:tr>
    </w:tbl>
    <w:p>
      <w:pPr>
        <w:spacing w:after="200" w:before="60"/>
      </w:pPr>
      <w:r>
        <w:rPr>
          <w:i/>
          <w:iCs/>
          <w:color w:val="555555"/>
          <w:sz w:val="18"/>
          <w:szCs w:val="18"/>
        </w:rPr>
        <w:t xml:space="preserve">Ratio model vs branch-free B-tree: slope −0.020 [−0.030, −0.010]; extrapolated crossover at 2^39.2 keys. Vs early-exit B-tree: crossover at 2^35.7.</w:t>
      </w:r>
    </w:p>
    <w:p>
      <w:pPr>
        <w:spacing w:after="120"/>
      </w:pPr>
      <w:r>
        <w:t xml:space="preserve">In latency mode the early-exit B-tree is slightly faster than the branch-free one, the reverse of throughput. When the scan exits early, branch prediction lets the CPU guess the answer and start the next level. The branch-free sum has to finish first. Which baseline counts as “strongest” depends on which question you ask.</w:t>
      </w:r>
    </w:p>
    <w:p>
      <w:pPr>
        <w:jc w:val="center"/>
      </w:pPr>
      <w:r>
        <w:drawing>
          <wp:inline distT="0" distB="0" distL="0" distR="0">
            <wp:extent cx="5524500" cy="3552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3552825"/>
                    </a:xfrm>
                    <a:prstGeom prst="rect">
                      <a:avLst/>
                    </a:prstGeom>
                  </pic:spPr>
                </pic:pic>
              </a:graphicData>
            </a:graphic>
          </wp:inline>
        </w:drawing>
      </w:r>
    </w:p>
    <w:p>
      <w:pPr>
        <w:spacing w:after="200" w:before="60"/>
      </w:pPr>
      <w:r>
        <w:rPr>
          <w:i/>
          <w:iCs/>
          <w:color w:val="555555"/>
          <w:sz w:val="18"/>
          <w:szCs w:val="18"/>
        </w:rPr>
        <w:t xml:space="preserve">Figure 2. Latency: fusion time ÷ each baseline. The gap to both B-trees narrows but stays above 1.0 through 2^25.</w:t>
      </w:r>
    </w:p>
    <w:p>
      <w:pPr>
        <w:pStyle w:val="Heading2"/>
        <w:keepNext/>
      </w:pPr>
      <w:r>
        <w:t xml:space="preserve">6.3 What the one-instruction sketch buys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BFBFBF" w:sz="4"/>
              <w:left w:val="single" w:color="BFBFBF" w:sz="4"/>
              <w:bottom w:val="single" w:color="BFBFBF" w:sz="4"/>
              <w:right w:val="single" w:color="BFBFBF" w:sz="4"/>
            </w:tcBorders>
            <w:shd w:fill="E8EEF4" w:color="auto" w:val="clear"/>
            <w:tcMar>
              <w:top w:type="dxa" w:w="60"/>
              <w:left w:type="dxa" w:w="100"/>
              <w:bottom w:type="dxa" w:w="60"/>
              <w:right w:type="dxa" w:w="100"/>
            </w:tcMar>
          </w:tcPr>
          <w:p>
            <w:pPr>
              <w:jc w:val="left"/>
            </w:pPr>
            <w:r>
              <w:rPr>
                <w:b/>
                <w:bCs/>
                <w:sz w:val="18"/>
                <w:szCs w:val="18"/>
              </w:rPr>
              <w:t xml:space="preserve">n</w:t>
            </w:r>
          </w:p>
        </w:tc>
        <w:tc>
          <w:tcPr>
            <w:tcW w:type="dxa" w:w="2340"/>
            <w:tcBorders>
              <w:top w:val="single" w:color="BFBFBF" w:sz="4"/>
              <w:left w:val="single" w:color="BFBFBF" w:sz="4"/>
              <w:bottom w:val="single" w:color="BFBFBF" w:sz="4"/>
              <w:right w:val="single" w:color="BFBFBF" w:sz="4"/>
            </w:tcBorders>
            <w:shd w:fill="E8EEF4" w:color="auto" w:val="clear"/>
            <w:tcMar>
              <w:top w:type="dxa" w:w="60"/>
              <w:left w:type="dxa" w:w="100"/>
              <w:bottom w:type="dxa" w:w="60"/>
              <w:right w:type="dxa" w:w="100"/>
            </w:tcMar>
          </w:tcPr>
          <w:p>
            <w:pPr>
              <w:jc w:val="right"/>
            </w:pPr>
            <w:r>
              <w:rPr>
                <w:b/>
                <w:bCs/>
                <w:sz w:val="18"/>
                <w:szCs w:val="18"/>
              </w:rPr>
              <w:t xml:space="preserve">loop sketch (ns)</w:t>
            </w:r>
          </w:p>
        </w:tc>
        <w:tc>
          <w:tcPr>
            <w:tcW w:type="dxa" w:w="2340"/>
            <w:tcBorders>
              <w:top w:val="single" w:color="BFBFBF" w:sz="4"/>
              <w:left w:val="single" w:color="BFBFBF" w:sz="4"/>
              <w:bottom w:val="single" w:color="BFBFBF" w:sz="4"/>
              <w:right w:val="single" w:color="BFBFBF" w:sz="4"/>
            </w:tcBorders>
            <w:shd w:fill="E8EEF4" w:color="auto" w:val="clear"/>
            <w:tcMar>
              <w:top w:type="dxa" w:w="60"/>
              <w:left w:type="dxa" w:w="100"/>
              <w:bottom w:type="dxa" w:w="60"/>
              <w:right w:type="dxa" w:w="100"/>
            </w:tcMar>
          </w:tcPr>
          <w:p>
            <w:pPr>
              <w:jc w:val="right"/>
            </w:pPr>
            <w:r>
              <w:rPr>
                <w:b/>
                <w:bCs/>
                <w:sz w:val="18"/>
                <w:szCs w:val="18"/>
              </w:rPr>
              <w:t xml:space="preserve">PEXT (ns)</w:t>
            </w:r>
          </w:p>
        </w:tc>
        <w:tc>
          <w:tcPr>
            <w:tcW w:type="dxa" w:w="2340"/>
            <w:tcBorders>
              <w:top w:val="single" w:color="BFBFBF" w:sz="4"/>
              <w:left w:val="single" w:color="BFBFBF" w:sz="4"/>
              <w:bottom w:val="single" w:color="BFBFBF" w:sz="4"/>
              <w:right w:val="single" w:color="BFBFBF" w:sz="4"/>
            </w:tcBorders>
            <w:shd w:fill="E8EEF4" w:color="auto" w:val="clear"/>
            <w:tcMar>
              <w:top w:type="dxa" w:w="60"/>
              <w:left w:type="dxa" w:w="100"/>
              <w:bottom w:type="dxa" w:w="60"/>
              <w:right w:type="dxa" w:w="100"/>
            </w:tcMar>
          </w:tcPr>
          <w:p>
            <w:pPr>
              <w:jc w:val="right"/>
            </w:pPr>
            <w:r>
              <w:rPr>
                <w:b/>
                <w:bCs/>
                <w:sz w:val="18"/>
                <w:szCs w:val="18"/>
              </w:rPr>
              <w:t xml:space="preserve">saving</w:t>
            </w:r>
          </w:p>
        </w:tc>
      </w:tr>
      <w:t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2</w:t>
            </w:r>
            <w:r>
              <w:rPr>
                <w:vertAlign w:val="superscript"/>
              </w:rPr>
              <w:t xml:space="preserve">8</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t xml:space="preserve">44.2</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t xml:space="preserve">38.3</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t xml:space="preserve">13%</w:t>
            </w:r>
          </w:p>
        </w:tc>
      </w:tr>
      <w:t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2</w:t>
            </w:r>
            <w:r>
              <w:rPr>
                <w:vertAlign w:val="superscript"/>
              </w:rPr>
              <w:t xml:space="preserve">12</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t xml:space="preserve">67.3</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t xml:space="preserve">53.3</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t xml:space="preserve">21%</w:t>
            </w:r>
          </w:p>
        </w:tc>
      </w:tr>
      <w:t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2</w:t>
            </w:r>
            <w:r>
              <w:rPr>
                <w:vertAlign w:val="superscript"/>
              </w:rPr>
              <w:t xml:space="preserve">16</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t xml:space="preserve">109.4</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t xml:space="preserve">97.6</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t xml:space="preserve">11%</w:t>
            </w:r>
          </w:p>
        </w:tc>
      </w:tr>
      <w:t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2</w:t>
            </w:r>
            <w:r>
              <w:rPr>
                <w:vertAlign w:val="superscript"/>
              </w:rPr>
              <w:t xml:space="preserve">20</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t xml:space="preserve">384.0</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t xml:space="preserve">375.9</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t xml:space="preserve">2%</w:t>
            </w:r>
          </w:p>
        </w:tc>
      </w:tr>
      <w:t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2</w:t>
            </w:r>
            <w:r>
              <w:rPr>
                <w:vertAlign w:val="superscript"/>
              </w:rPr>
              <w:t xml:space="preserve">22</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t xml:space="preserve">407.8</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t xml:space="preserve">385.8</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t xml:space="preserve">5%</w:t>
            </w:r>
          </w:p>
        </w:tc>
      </w:tr>
    </w:tbl>
    <w:p>
      <w:pPr>
        <w:spacing w:after="200" w:before="60"/>
      </w:pPr>
      <w:r>
        <w:rPr>
          <w:i/>
          <w:iCs/>
          <w:color w:val="555555"/>
          <w:sz w:val="18"/>
          <w:szCs w:val="18"/>
        </w:rPr>
        <w:t xml:space="preserve">Fusion tree only, throughput, performance core. The manual’s prediction holds: the sketch matters when the data is in cache and hardly at all once memory dominates.</w:t>
      </w:r>
    </w:p>
    <w:p>
      <w:pPr>
        <w:pStyle w:val="Heading2"/>
        <w:keepNext/>
      </w:pPr>
      <w:r>
        <w:t xml:space="preserve">6.4 Run order: blocked vs shuffled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3100"/>
        <w:gridCol w:w="1720"/>
        <w:gridCol w:w="1720"/>
        <w:gridCol w:w="1720"/>
      </w:tblGrid>
      <w:tr>
        <w:trPr>
          <w:tblHeader/>
        </w:trPr>
        <w:tc>
          <w:tcPr>
            <w:tcW w:type="dxa" w:w="1100"/>
            <w:tcBorders>
              <w:top w:val="single" w:color="BFBFBF" w:sz="4"/>
              <w:left w:val="single" w:color="BFBFBF" w:sz="4"/>
              <w:bottom w:val="single" w:color="BFBFBF" w:sz="4"/>
              <w:right w:val="single" w:color="BFBFBF" w:sz="4"/>
            </w:tcBorders>
            <w:shd w:fill="E8EEF4" w:color="auto" w:val="clear"/>
            <w:tcMar>
              <w:top w:type="dxa" w:w="60"/>
              <w:left w:type="dxa" w:w="100"/>
              <w:bottom w:type="dxa" w:w="60"/>
              <w:right w:type="dxa" w:w="100"/>
            </w:tcMar>
          </w:tcPr>
          <w:p>
            <w:pPr>
              <w:jc w:val="left"/>
            </w:pPr>
            <w:r>
              <w:rPr>
                <w:b/>
                <w:bCs/>
                <w:sz w:val="18"/>
                <w:szCs w:val="18"/>
              </w:rPr>
              <w:t xml:space="preserve">n</w:t>
            </w:r>
          </w:p>
        </w:tc>
        <w:tc>
          <w:tcPr>
            <w:tcW w:type="dxa" w:w="3100"/>
            <w:tcBorders>
              <w:top w:val="single" w:color="BFBFBF" w:sz="4"/>
              <w:left w:val="single" w:color="BFBFBF" w:sz="4"/>
              <w:bottom w:val="single" w:color="BFBFBF" w:sz="4"/>
              <w:right w:val="single" w:color="BFBFBF" w:sz="4"/>
            </w:tcBorders>
            <w:shd w:fill="E8EEF4" w:color="auto" w:val="clear"/>
            <w:tcMar>
              <w:top w:type="dxa" w:w="60"/>
              <w:left w:type="dxa" w:w="100"/>
              <w:bottom w:type="dxa" w:w="60"/>
              <w:right w:type="dxa" w:w="100"/>
            </w:tcMar>
          </w:tcPr>
          <w:p>
            <w:pPr>
              <w:jc w:val="left"/>
            </w:pPr>
            <w:r>
              <w:rPr>
                <w:b/>
                <w:bCs/>
                <w:sz w:val="18"/>
                <w:szCs w:val="18"/>
              </w:rPr>
              <w:t xml:space="preserve">structure</w:t>
            </w:r>
          </w:p>
        </w:tc>
        <w:tc>
          <w:tcPr>
            <w:tcW w:type="dxa" w:w="1720"/>
            <w:tcBorders>
              <w:top w:val="single" w:color="BFBFBF" w:sz="4"/>
              <w:left w:val="single" w:color="BFBFBF" w:sz="4"/>
              <w:bottom w:val="single" w:color="BFBFBF" w:sz="4"/>
              <w:right w:val="single" w:color="BFBFBF" w:sz="4"/>
            </w:tcBorders>
            <w:shd w:fill="E8EEF4" w:color="auto" w:val="clear"/>
            <w:tcMar>
              <w:top w:type="dxa" w:w="60"/>
              <w:left w:type="dxa" w:w="100"/>
              <w:bottom w:type="dxa" w:w="60"/>
              <w:right w:type="dxa" w:w="100"/>
            </w:tcMar>
          </w:tcPr>
          <w:p>
            <w:pPr>
              <w:jc w:val="right"/>
            </w:pPr>
            <w:r>
              <w:rPr>
                <w:b/>
                <w:bCs/>
                <w:sz w:val="18"/>
                <w:szCs w:val="18"/>
              </w:rPr>
              <w:t xml:space="preserve">blocked</w:t>
            </w:r>
          </w:p>
        </w:tc>
        <w:tc>
          <w:tcPr>
            <w:tcW w:type="dxa" w:w="1720"/>
            <w:tcBorders>
              <w:top w:val="single" w:color="BFBFBF" w:sz="4"/>
              <w:left w:val="single" w:color="BFBFBF" w:sz="4"/>
              <w:bottom w:val="single" w:color="BFBFBF" w:sz="4"/>
              <w:right w:val="single" w:color="BFBFBF" w:sz="4"/>
            </w:tcBorders>
            <w:shd w:fill="E8EEF4" w:color="auto" w:val="clear"/>
            <w:tcMar>
              <w:top w:type="dxa" w:w="60"/>
              <w:left w:type="dxa" w:w="100"/>
              <w:bottom w:type="dxa" w:w="60"/>
              <w:right w:type="dxa" w:w="100"/>
            </w:tcMar>
          </w:tcPr>
          <w:p>
            <w:pPr>
              <w:jc w:val="right"/>
            </w:pPr>
            <w:r>
              <w:rPr>
                <w:b/>
                <w:bCs/>
                <w:sz w:val="18"/>
                <w:szCs w:val="18"/>
              </w:rPr>
              <w:t xml:space="preserve">shuffled</w:t>
            </w:r>
          </w:p>
        </w:tc>
        <w:tc>
          <w:tcPr>
            <w:tcW w:type="dxa" w:w="1720"/>
            <w:tcBorders>
              <w:top w:val="single" w:color="BFBFBF" w:sz="4"/>
              <w:left w:val="single" w:color="BFBFBF" w:sz="4"/>
              <w:bottom w:val="single" w:color="BFBFBF" w:sz="4"/>
              <w:right w:val="single" w:color="BFBFBF" w:sz="4"/>
            </w:tcBorders>
            <w:shd w:fill="E8EEF4" w:color="auto" w:val="clear"/>
            <w:tcMar>
              <w:top w:type="dxa" w:w="60"/>
              <w:left w:type="dxa" w:w="100"/>
              <w:bottom w:type="dxa" w:w="60"/>
              <w:right w:type="dxa" w:w="100"/>
            </w:tcMar>
          </w:tcPr>
          <w:p>
            <w:pPr>
              <w:jc w:val="right"/>
            </w:pPr>
            <w:r>
              <w:rPr>
                <w:b/>
                <w:bCs/>
                <w:sz w:val="18"/>
                <w:szCs w:val="18"/>
              </w:rPr>
              <w:t xml:space="preserve">change</w:t>
            </w:r>
          </w:p>
        </w:tc>
      </w:tr>
      <w:t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2</w:t>
            </w:r>
            <w:r>
              <w:rPr>
                <w:vertAlign w:val="superscript"/>
              </w:rPr>
              <w:t xml:space="preserve">16</w:t>
            </w:r>
          </w:p>
        </w:tc>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B-tree (branch-free)</w:t>
            </w:r>
          </w:p>
        </w:tc>
        <w:tc>
          <w:tcPr>
            <w:tcW w:type="dxa" w:w="17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t xml:space="preserve">29.8</w:t>
            </w:r>
          </w:p>
        </w:tc>
        <w:tc>
          <w:tcPr>
            <w:tcW w:type="dxa" w:w="17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t xml:space="preserve">32.8</w:t>
            </w:r>
          </w:p>
        </w:tc>
        <w:tc>
          <w:tcPr>
            <w:tcW w:type="dxa" w:w="17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t xml:space="preserve">+10%</w:t>
            </w:r>
          </w:p>
        </w:tc>
      </w:tr>
      <w:t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2</w:t>
            </w:r>
            <w:r>
              <w:rPr>
                <w:vertAlign w:val="superscript"/>
              </w:rPr>
              <w:t xml:space="preserve">16</w:t>
            </w:r>
          </w:p>
        </w:tc>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fusion</w:t>
            </w:r>
          </w:p>
        </w:tc>
        <w:tc>
          <w:tcPr>
            <w:tcW w:type="dxa" w:w="17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t xml:space="preserve">83.7</w:t>
            </w:r>
          </w:p>
        </w:tc>
        <w:tc>
          <w:tcPr>
            <w:tcW w:type="dxa" w:w="17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t xml:space="preserve">87.8</w:t>
            </w:r>
          </w:p>
        </w:tc>
        <w:tc>
          <w:tcPr>
            <w:tcW w:type="dxa" w:w="17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t xml:space="preserve">+5%</w:t>
            </w:r>
          </w:p>
        </w:tc>
      </w:tr>
      <w:t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2</w:t>
            </w:r>
            <w:r>
              <w:rPr>
                <w:vertAlign w:val="superscript"/>
              </w:rPr>
              <w:t xml:space="preserve">20</w:t>
            </w:r>
          </w:p>
        </w:tc>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binary search</w:t>
            </w:r>
          </w:p>
        </w:tc>
        <w:tc>
          <w:tcPr>
            <w:tcW w:type="dxa" w:w="17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t xml:space="preserve">77.4</w:t>
            </w:r>
          </w:p>
        </w:tc>
        <w:tc>
          <w:tcPr>
            <w:tcW w:type="dxa" w:w="17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t xml:space="preserve">95.2</w:t>
            </w:r>
          </w:p>
        </w:tc>
        <w:tc>
          <w:tcPr>
            <w:tcW w:type="dxa" w:w="17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t xml:space="preserve">+23%</w:t>
            </w:r>
          </w:p>
        </w:tc>
      </w:tr>
      <w:t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2</w:t>
            </w:r>
            <w:r>
              <w:rPr>
                <w:vertAlign w:val="superscript"/>
              </w:rPr>
              <w:t xml:space="preserve">20</w:t>
            </w:r>
          </w:p>
        </w:tc>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B-tree</w:t>
            </w:r>
          </w:p>
        </w:tc>
        <w:tc>
          <w:tcPr>
            <w:tcW w:type="dxa" w:w="17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t xml:space="preserve">175.3</w:t>
            </w:r>
          </w:p>
        </w:tc>
        <w:tc>
          <w:tcPr>
            <w:tcW w:type="dxa" w:w="17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t xml:space="preserve">224.9</w:t>
            </w:r>
          </w:p>
        </w:tc>
        <w:tc>
          <w:tcPr>
            <w:tcW w:type="dxa" w:w="17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t xml:space="preserve">+28%</w:t>
            </w:r>
          </w:p>
        </w:tc>
      </w:tr>
      <w:t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2</w:t>
            </w:r>
            <w:r>
              <w:rPr>
                <w:vertAlign w:val="superscript"/>
              </w:rPr>
              <w:t xml:space="preserve">20</w:t>
            </w:r>
          </w:p>
        </w:tc>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B-tree (branch-free)</w:t>
            </w:r>
          </w:p>
        </w:tc>
        <w:tc>
          <w:tcPr>
            <w:tcW w:type="dxa" w:w="17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t xml:space="preserve">105.1</w:t>
            </w:r>
          </w:p>
        </w:tc>
        <w:tc>
          <w:tcPr>
            <w:tcW w:type="dxa" w:w="17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t xml:space="preserve">134.5</w:t>
            </w:r>
          </w:p>
        </w:tc>
        <w:tc>
          <w:tcPr>
            <w:tcW w:type="dxa" w:w="17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t xml:space="preserve">+28%</w:t>
            </w:r>
          </w:p>
        </w:tc>
      </w:tr>
      <w:t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2</w:t>
            </w:r>
            <w:r>
              <w:rPr>
                <w:vertAlign w:val="superscript"/>
              </w:rPr>
              <w:t xml:space="preserve">20</w:t>
            </w:r>
          </w:p>
        </w:tc>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fusion</w:t>
            </w:r>
          </w:p>
        </w:tc>
        <w:tc>
          <w:tcPr>
            <w:tcW w:type="dxa" w:w="17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t xml:space="preserve">290.2</w:t>
            </w:r>
          </w:p>
        </w:tc>
        <w:tc>
          <w:tcPr>
            <w:tcW w:type="dxa" w:w="17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t xml:space="preserve">320.5</w:t>
            </w:r>
          </w:p>
        </w:tc>
        <w:tc>
          <w:tcPr>
            <w:tcW w:type="dxa" w:w="17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t xml:space="preserve">+10%</w:t>
            </w:r>
          </w:p>
        </w:tc>
      </w:tr>
      <w:t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2</w:t>
            </w:r>
            <w:r>
              <w:rPr>
                <w:vertAlign w:val="superscript"/>
              </w:rPr>
              <w:t xml:space="preserve">22</w:t>
            </w:r>
          </w:p>
        </w:tc>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B-tree (branch-free)</w:t>
            </w:r>
          </w:p>
        </w:tc>
        <w:tc>
          <w:tcPr>
            <w:tcW w:type="dxa" w:w="17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t xml:space="preserve">90.2</w:t>
            </w:r>
          </w:p>
        </w:tc>
        <w:tc>
          <w:tcPr>
            <w:tcW w:type="dxa" w:w="17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t xml:space="preserve">120.4</w:t>
            </w:r>
          </w:p>
        </w:tc>
        <w:tc>
          <w:tcPr>
            <w:tcW w:type="dxa" w:w="17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t xml:space="preserve">+34%</w:t>
            </w:r>
          </w:p>
        </w:tc>
      </w:tr>
      <w:t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2</w:t>
            </w:r>
            <w:r>
              <w:rPr>
                <w:vertAlign w:val="superscript"/>
              </w:rPr>
              <w:t xml:space="preserve">22</w:t>
            </w:r>
          </w:p>
        </w:tc>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fusion</w:t>
            </w:r>
          </w:p>
        </w:tc>
        <w:tc>
          <w:tcPr>
            <w:tcW w:type="dxa" w:w="17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t xml:space="preserve">305.4</w:t>
            </w:r>
          </w:p>
        </w:tc>
        <w:tc>
          <w:tcPr>
            <w:tcW w:type="dxa" w:w="17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t xml:space="preserve">338.8</w:t>
            </w:r>
          </w:p>
        </w:tc>
        <w:tc>
          <w:tcPr>
            <w:tcW w:type="dxa" w:w="17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t xml:space="preserve">+11%</w:t>
            </w:r>
          </w:p>
        </w:tc>
      </w:tr>
    </w:tbl>
    <w:p>
      <w:pPr>
        <w:spacing w:after="200" w:before="60"/>
      </w:pPr>
      <w:r>
        <w:rPr>
          <w:i/>
          <w:iCs/>
          <w:color w:val="555555"/>
          <w:sz w:val="18"/>
          <w:szCs w:val="18"/>
        </w:rPr>
        <w:t xml:space="preserve">Back-to-back runs on core 8. In blocked order each structure re-reads its own cached data; in shuffled order it inherits another structure’s cache contents.</w:t>
      </w:r>
    </w:p>
    <w:p>
      <w:pPr>
        <w:spacing w:after="120"/>
      </w:pPr>
      <w:r>
        <w:t xml:space="preserve">Session-to-session variation is also larger than the within-run spread suggests. The same shuffled throughput campaign, run twice in the same evening, gave the fusion tree 375.9 and 320.5 ns at 2</w:t>
      </w:r>
      <w:r>
        <w:rPr>
          <w:vertAlign w:val="superscript"/>
        </w:rPr>
        <w:t xml:space="preserve">20</w:t>
      </w:r>
      <w:r>
        <w:t xml:space="preserve">, a 15% difference, while each run’s IQR was under 5%. Repeating whole campaigns in separate sessions is the only way to measure this.</w:t>
      </w:r>
    </w:p>
    <w:p>
      <w:pPr>
        <w:pStyle w:val="Heading1"/>
        <w:keepNext/>
      </w:pPr>
      <w:r>
        <w:t xml:space="preserve">7. What this means for the research question</w:t>
      </w:r>
    </w:p>
    <w:p>
      <w:pPr>
        <w:pStyle w:val="ListParagraph"/>
        <w:numPr>
          <w:ilvl w:val="0"/>
          <w:numId w:val="3"/>
        </w:numPr>
        <w:spacing w:after="60"/>
      </w:pPr>
      <w:r>
        <w:rPr>
          <w:b/>
          <w:bCs/>
        </w:rPr>
        <w:t xml:space="preserve">Against the strongest practical baseline there is no crossover in throughput.</w:t>
      </w:r>
      <w:r>
        <w:t xml:space="preserve"> The gap to the branch-free B-tree grows with n.</w:t>
      </w:r>
    </w:p>
    <w:p>
      <w:pPr>
        <w:pStyle w:val="ListParagraph"/>
        <w:numPr>
          <w:ilvl w:val="0"/>
          <w:numId w:val="3"/>
        </w:numPr>
        <w:spacing w:after="60"/>
      </w:pPr>
      <w:r>
        <w:rPr>
          <w:b/>
          <w:bCs/>
        </w:rPr>
        <w:t xml:space="preserve">In latency the gap narrows.</w:t>
      </w:r>
      <w:r>
        <w:t xml:space="preserve"> Taken at face value, the fitted line reaches parity at about 2</w:t>
      </w:r>
      <w:r>
        <w:rPr>
          <w:vertAlign w:val="superscript"/>
        </w:rPr>
        <w:t xml:space="preserve">39</w:t>
      </w:r>
      <w:r>
        <w:t xml:space="preserve"> keys, 128 times more keys than this laptop’s 32 GB can hold (2</w:t>
      </w:r>
      <w:r>
        <w:rPr>
          <w:vertAlign w:val="superscript"/>
        </w:rPr>
        <w:t xml:space="preserve">32</w:t>
      </w:r>
      <w:r>
        <w:t xml:space="preserve">). This is exactly the quantitative form the manual asks for. It rests on a straight-line model and on data that flattens at the end, so it should be reported as an order-of-magnitude estimate, not a prediction.</w:t>
      </w:r>
    </w:p>
    <w:p>
      <w:pPr>
        <w:pStyle w:val="ListParagraph"/>
        <w:numPr>
          <w:ilvl w:val="0"/>
          <w:numId w:val="3"/>
        </w:numPr>
        <w:spacing w:after="60"/>
      </w:pPr>
      <w:r>
        <w:rPr>
          <w:b/>
          <w:bCs/>
        </w:rPr>
        <w:t xml:space="preserve">Beating binary search is not evidence for the fusion node.</w:t>
      </w:r>
      <w:r>
        <w:t xml:space="preserve"> The fusion tree overtakes binary search because it is shaped like a B-tree: fewer levels, and so fewer cache misses per query. The early-exit B-tree does the same thing, sooner and by more. The report should avoid presenting the fusion-vs-binary crossover as the result.</w:t>
      </w:r>
    </w:p>
    <w:p>
      <w:pPr>
        <w:pStyle w:val="ListParagraph"/>
        <w:numPr>
          <w:ilvl w:val="0"/>
          <w:numId w:val="3"/>
        </w:numPr>
        <w:spacing w:after="60"/>
      </w:pPr>
      <w:r>
        <w:rPr>
          <w:b/>
          <w:bCs/>
        </w:rPr>
        <w:t xml:space="preserve">The mechanism is not identified yet.</w:t>
      </w:r>
      <w:r>
        <w:t xml:space="preserve"> The size difference (184 vs 112 bytes per node) and the dependency chain are both candidates. Separating them needs hardware counters (Experiment 3).</w:t>
      </w:r>
    </w:p>
    <w:p>
      <w:pPr>
        <w:pStyle w:val="Heading1"/>
        <w:keepNext/>
      </w:pPr>
      <w:r>
        <w:t xml:space="preserve">8. Caveats</w:t>
      </w:r>
    </w:p>
    <w:p>
      <w:pPr>
        <w:pStyle w:val="ListParagraph"/>
        <w:numPr>
          <w:ilvl w:val="0"/>
          <w:numId w:val="2"/>
        </w:numPr>
        <w:spacing w:after="60"/>
      </w:pPr>
      <w:r>
        <w:t xml:space="preserve">The machine was in use during the runs; turbo was on; Balanced power plan; power source not recorded.</w:t>
      </w:r>
    </w:p>
    <w:p>
      <w:pPr>
        <w:pStyle w:val="ListParagraph"/>
        <w:numPr>
          <w:ilvl w:val="0"/>
          <w:numId w:val="2"/>
        </w:numPr>
        <w:spacing w:after="60"/>
      </w:pPr>
      <w:r>
        <w:t xml:space="preserve">One compiler (g++ 16.1). The manual asks for clang as well.</w:t>
      </w:r>
    </w:p>
    <w:p>
      <w:pPr>
        <w:pStyle w:val="ListParagraph"/>
        <w:numPr>
          <w:ilvl w:val="0"/>
          <w:numId w:val="2"/>
        </w:numPr>
        <w:spacing w:after="60"/>
      </w:pPr>
      <w:r>
        <w:t xml:space="preserve">No hardware counters yet. All mechanism statements above are hypotheses.</w:t>
      </w:r>
    </w:p>
    <w:p>
      <w:pPr>
        <w:pStyle w:val="ListParagraph"/>
        <w:numPr>
          <w:ilvl w:val="0"/>
          <w:numId w:val="2"/>
        </w:numPr>
        <w:spacing w:after="60"/>
      </w:pPr>
      <w:r>
        <w:t xml:space="preserve">The loop-sketch and efficiency-core campaigns stop at 2</w:t>
      </w:r>
      <w:r>
        <w:rPr>
          <w:vertAlign w:val="superscript"/>
        </w:rPr>
        <w:t xml:space="preserve">22</w:t>
      </w:r>
      <w:r>
        <w:t xml:space="preserve">, so their fitted slopes are not directly comparable with the 2</w:t>
      </w:r>
      <w:r>
        <w:rPr>
          <w:vertAlign w:val="superscript"/>
        </w:rPr>
        <w:t xml:space="preserve">25</w:t>
      </w:r>
      <w:r>
        <w:t xml:space="preserve"> campaigns.</w:t>
      </w:r>
    </w:p>
    <w:p>
      <w:pPr>
        <w:pStyle w:val="ListParagraph"/>
        <w:numPr>
          <w:ilvl w:val="0"/>
          <w:numId w:val="2"/>
        </w:numPr>
        <w:spacing w:after="60"/>
      </w:pPr>
      <w:r>
        <w:t xml:space="preserve">The branch-free B-tree has a reproducible dip at n = 512 (11.9 ns, against 17.7 at 256 and 27.5 at 1,024) that is not yet explained.</w:t>
      </w:r>
    </w:p>
    <w:p>
      <w:pPr>
        <w:pStyle w:val="Heading1"/>
        <w:keepNext/>
      </w:pPr>
      <w:r>
        <w:t xml:space="preserve">9. Suggested next steps</w:t>
      </w:r>
    </w:p>
    <w:p>
      <w:pPr>
        <w:pStyle w:val="ListParagraph"/>
        <w:numPr>
          <w:ilvl w:val="0"/>
          <w:numId w:val="4"/>
        </w:numPr>
        <w:spacing w:after="60"/>
      </w:pPr>
      <w:r>
        <w:t xml:space="preserve">Experiment 3: try </w:t>
      </w:r>
      <w:r>
        <w:rPr>
          <w:rFonts w:ascii="Consolas" w:cs="Consolas" w:eastAsia="Consolas" w:hAnsi="Consolas"/>
          <w:sz w:val="19"/>
          <w:szCs w:val="19"/>
        </w:rPr>
        <w:t xml:space="preserve">perf stat</w:t>
      </w:r>
      <w:r>
        <w:t xml:space="preserve"> in the WSL2 Ubuntu install (check the core map again inside WSL), or Intel VTune on Windows. Measure instructions, cycles, branch misses and cache misses per query for all four structures in both modes.</w:t>
      </w:r>
    </w:p>
    <w:p>
      <w:pPr>
        <w:pStyle w:val="ListParagraph"/>
        <w:numPr>
          <w:ilvl w:val="0"/>
          <w:numId w:val="4"/>
        </w:numPr>
        <w:spacing w:after="60"/>
      </w:pPr>
      <w:r>
        <w:t xml:space="preserve">Install clang (</w:t>
      </w:r>
      <w:r>
        <w:rPr>
          <w:rFonts w:ascii="Consolas" w:cs="Consolas" w:eastAsia="Consolas" w:hAnsi="Consolas"/>
          <w:sz w:val="19"/>
          <w:szCs w:val="19"/>
        </w:rPr>
        <w:t xml:space="preserve">pacman -S mingw-w64-ucrt-x86_64-clang</w:t>
      </w:r>
      <w:r>
        <w:t xml:space="preserve">) and repeat the throughput and latency campaigns.</w:t>
      </w:r>
    </w:p>
    <w:p>
      <w:pPr>
        <w:pStyle w:val="ListParagraph"/>
        <w:numPr>
          <w:ilvl w:val="0"/>
          <w:numId w:val="4"/>
        </w:numPr>
        <w:spacing w:after="60"/>
      </w:pPr>
      <w:r>
        <w:t xml:space="preserve">Final data: at least three separate sessions on an idle, plugged-in machine, pinned to a performance core, both run orders. Report the session-to-session spread.</w:t>
      </w:r>
    </w:p>
    <w:p>
      <w:pPr>
        <w:pStyle w:val="ListParagraph"/>
        <w:numPr>
          <w:ilvl w:val="0"/>
          <w:numId w:val="4"/>
        </w:numPr>
        <w:spacing w:after="60"/>
      </w:pPr>
      <w:r>
        <w:t xml:space="preserve">Test the layout hypothesis directly. With PEXT the fusion node doesn’t need its 32-byte important-bit array at query time. Splitting it out and aligning nodes to 64 bytes would shrink the per-level footprint; if the gap shrinks with it, memory traffic is part of the mechanism.</w:t>
      </w:r>
    </w:p>
    <w:p>
      <w:pPr>
        <w:pStyle w:val="ListParagraph"/>
        <w:numPr>
          <w:ilvl w:val="0"/>
          <w:numId w:val="4"/>
        </w:numPr>
        <w:spacing w:after="60"/>
      </w:pPr>
      <w:r>
        <w:t xml:space="preserve">Make the fusion node’s rank branch-free (its high/low branch is a coin toss on random queries) and see whether the throughput gap closes.</w:t>
      </w:r>
    </w:p>
    <w:p>
      <w:pPr>
        <w:pStyle w:val="ListParagraph"/>
        <w:numPr>
          <w:ilvl w:val="0"/>
          <w:numId w:val="4"/>
        </w:numPr>
        <w:spacing w:after="60"/>
      </w:pPr>
      <w:r>
        <w:t xml:space="preserve">Experiment 4 is limited to AVX2 on this machine: 256-bit words, so K² ≤ 256 and K ≤ 16.</w:t>
      </w:r>
    </w:p>
    <w:p>
      <w:pPr>
        <w:pStyle w:val="ListParagraph"/>
        <w:numPr>
          <w:ilvl w:val="0"/>
          <w:numId w:val="4"/>
        </w:numPr>
        <w:spacing w:after="60"/>
      </w:pPr>
      <w:r>
        <w:t xml:space="preserve">Manual updates: the Checkpoint 2 count for test_structures is now 4,800,000; the </w:t>
      </w:r>
      <w:r>
        <w:rPr>
          <w:rFonts w:ascii="Consolas" w:cs="Consolas" w:eastAsia="Consolas" w:hAnsi="Consolas"/>
          <w:sz w:val="19"/>
          <w:szCs w:val="19"/>
        </w:rPr>
        <w:t xml:space="preserve">taskset -c 2</w:t>
      </w:r>
      <w:r>
        <w:t xml:space="preserve"> example should name a performance core.</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Fusion Tree work log · 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b/>
      <w:bCs/>
      <w:color w:val="1F3864"/>
      <w:sz w:val="28"/>
      <w:szCs w:val="28"/>
    </w:rPr>
  </w:style>
  <w:style w:type="paragraph" w:styleId="Heading2">
    <w:name w:val="Heading 2"/>
    <w:basedOn w:val="Normal"/>
    <w:next w:val="Normal"/>
    <w:qFormat/>
    <w:pPr>
      <w:spacing w:after="100" w:before="200"/>
      <w:outlineLvl w:val="1"/>
    </w:pPr>
    <w:rPr>
      <w:b/>
      <w:bCs/>
      <w:color w:val="2E5A88"/>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c5a33c940dd8acb6f13f4acc8fdc9eaa8472683e.png"/><Relationship Id="rId9" Type="http://schemas.openxmlformats.org/officeDocument/2006/relationships/image" Target="media/f529f7c22c5ad2e8f1f77cbdf5fbab8823777652.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Fusion Tree Project — Work Log, 10 September 2026</dc:title>
  <dc:creator>Noah Parsons</dc:creator>
  <cp:lastModifiedBy>Un-named</cp:lastModifiedBy>
  <cp:revision>1</cp:revision>
  <dcterms:created xsi:type="dcterms:W3CDTF">2026-09-10T23:25:21.482Z</dcterms:created>
  <dcterms:modified xsi:type="dcterms:W3CDTF">2026-09-10T23:25:21.483Z</dcterms:modified>
</cp:coreProperties>
</file>

<file path=docProps/custom.xml><?xml version="1.0" encoding="utf-8"?>
<Properties xmlns="http://schemas.openxmlformats.org/officeDocument/2006/custom-properties" xmlns:vt="http://schemas.openxmlformats.org/officeDocument/2006/docPropsVTypes"/>
</file>