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8000"/>
        </w:rPr>
        <w:t>Ransomware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000"/>
          </w:tcPr>
          <w:p>
            <w:r>
              <w:rPr>
                <w:b/>
                <w:color w:val="000000"/>
              </w:rPr>
              <w:t>Step Description</w:t>
            </w:r>
          </w:p>
        </w:tc>
        <w:tc>
          <w:tcPr>
            <w:tcW w:type="dxa" w:w="4320"/>
            <w:shd w:fill="008000"/>
          </w:tcPr>
          <w:p>
            <w:r>
              <w:rPr>
                <w:b/>
                <w:color w:val="000000"/>
              </w:rPr>
              <w:t>Step 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List all affected systems, devices, and network shares</w:t>
            </w:r>
          </w:p>
        </w:tc>
        <w:tc>
          <w:tcPr>
            <w:tcW w:type="dxa" w:w="4320"/>
          </w:tcPr>
          <w:p>
            <w:r>
              <w:t>asdfasdf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Confirm ransomware infection (e.g., encrypted files, ransom note, alerts)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Has the incident been reported to the security team / SOC?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Isolate affected systems immediately (disconnect from network and Wi-Fi)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Have backups of critical systems been identified and secured offline?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