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2090" w14:textId="1AFF4B97" w:rsidR="0022520B" w:rsidRDefault="00DE2348" w:rsidP="00DE2348">
      <w:pPr>
        <w:spacing w:line="480" w:lineRule="auto"/>
        <w:rPr>
          <w:rFonts w:ascii="Times New Roman" w:hAnsi="Times New Roman" w:cs="Times New Roman"/>
          <w:sz w:val="24"/>
          <w:szCs w:val="24"/>
        </w:rPr>
      </w:pPr>
      <w:r>
        <w:rPr>
          <w:rFonts w:ascii="Times New Roman" w:hAnsi="Times New Roman" w:cs="Times New Roman"/>
          <w:sz w:val="24"/>
          <w:szCs w:val="24"/>
        </w:rPr>
        <w:t>Noah Tessau</w:t>
      </w:r>
      <w:r>
        <w:rPr>
          <w:rFonts w:ascii="Times New Roman" w:hAnsi="Times New Roman" w:cs="Times New Roman"/>
          <w:sz w:val="24"/>
          <w:szCs w:val="24"/>
        </w:rPr>
        <w:tab/>
      </w:r>
    </w:p>
    <w:p w14:paraId="4F03B2F3" w14:textId="5DFF9729" w:rsidR="00DE2348" w:rsidRDefault="00DE2348" w:rsidP="00DE234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SAIL Application: </w:t>
      </w:r>
      <w:r w:rsidR="00D97F68">
        <w:rPr>
          <w:rFonts w:ascii="Times New Roman" w:hAnsi="Times New Roman" w:cs="Times New Roman"/>
          <w:sz w:val="24"/>
          <w:szCs w:val="24"/>
        </w:rPr>
        <w:t>ACC Three-Point Shooting Differences</w:t>
      </w:r>
    </w:p>
    <w:p w14:paraId="6540A267" w14:textId="797A8CB0" w:rsidR="00DE2348" w:rsidRDefault="00DE2348" w:rsidP="00DE23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paper attempts to answer if Atlantic Coast Conference (ACC) Men’s Basketball teams shoot better or worse at home versus on the road. The data sample, acquired from </w:t>
      </w:r>
      <w:r>
        <w:rPr>
          <w:rFonts w:ascii="Times New Roman" w:hAnsi="Times New Roman" w:cs="Times New Roman"/>
          <w:i/>
          <w:iCs/>
          <w:sz w:val="24"/>
          <w:szCs w:val="24"/>
        </w:rPr>
        <w:t>Sports Reference- College Basketball</w:t>
      </w:r>
      <w:r>
        <w:rPr>
          <w:rFonts w:ascii="Times New Roman" w:hAnsi="Times New Roman" w:cs="Times New Roman"/>
          <w:sz w:val="24"/>
          <w:szCs w:val="24"/>
        </w:rPr>
        <w:t xml:space="preserve">, included the three-point shooting for all 15 ACC teams for all home and road games during the 2021-2022 basketball season. Note that neutral site games were excluded from the sample to only analyze the difference in </w:t>
      </w:r>
      <w:r w:rsidR="00D97F68">
        <w:rPr>
          <w:rFonts w:ascii="Times New Roman" w:hAnsi="Times New Roman" w:cs="Times New Roman"/>
          <w:sz w:val="24"/>
          <w:szCs w:val="24"/>
        </w:rPr>
        <w:t>three-point</w:t>
      </w:r>
      <w:r>
        <w:rPr>
          <w:rFonts w:ascii="Times New Roman" w:hAnsi="Times New Roman" w:cs="Times New Roman"/>
          <w:sz w:val="24"/>
          <w:szCs w:val="24"/>
        </w:rPr>
        <w:t xml:space="preserve"> shooting for home and road games. </w:t>
      </w:r>
      <w:r w:rsidR="00D97F68">
        <w:rPr>
          <w:rFonts w:ascii="Times New Roman" w:hAnsi="Times New Roman" w:cs="Times New Roman"/>
          <w:sz w:val="24"/>
          <w:szCs w:val="24"/>
        </w:rPr>
        <w:t xml:space="preserve">Before analyzing the data, I hypothesize that three-point shooting on the road will be worse than three-point shooting at home. There are many factors that can influence shooting on the road versus at home. For example, road teams must travel for long hours and sleep in a hotel rather than their home; this can lead to a bad night’s sleep, which can cause a poorer performance during the game. The travel also means that there is less time for the road teams to game plan and practice. Additionally, road teams are not as familiar with the court they are playing on and must endure the immense pressure from the opposing team’s fans. </w:t>
      </w:r>
      <w:r w:rsidR="00651E53">
        <w:rPr>
          <w:rFonts w:ascii="Times New Roman" w:hAnsi="Times New Roman" w:cs="Times New Roman"/>
          <w:sz w:val="24"/>
          <w:szCs w:val="24"/>
        </w:rPr>
        <w:t xml:space="preserve">The number of days between games can also be significant in </w:t>
      </w:r>
      <w:r w:rsidR="00402174">
        <w:rPr>
          <w:rFonts w:ascii="Times New Roman" w:hAnsi="Times New Roman" w:cs="Times New Roman"/>
          <w:sz w:val="24"/>
          <w:szCs w:val="24"/>
        </w:rPr>
        <w:t xml:space="preserve">a team’s performance. </w:t>
      </w:r>
    </w:p>
    <w:p w14:paraId="2E7D6912" w14:textId="4BB1AAB8" w:rsidR="006B66E6" w:rsidRPr="006B66E6" w:rsidRDefault="006B66E6" w:rsidP="006B66E6">
      <w:pPr>
        <w:spacing w:line="480" w:lineRule="auto"/>
        <w:jc w:val="center"/>
        <w:rPr>
          <w:rFonts w:ascii="Times New Roman" w:hAnsi="Times New Roman" w:cs="Times New Roman"/>
          <w:i/>
          <w:iCs/>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D43A2EA" wp14:editId="0AB6E038">
            <wp:simplePos x="0" y="0"/>
            <wp:positionH relativeFrom="margin">
              <wp:align>center</wp:align>
            </wp:positionH>
            <wp:positionV relativeFrom="paragraph">
              <wp:posOffset>0</wp:posOffset>
            </wp:positionV>
            <wp:extent cx="5486400" cy="3200400"/>
            <wp:effectExtent l="0" t="0" r="0" b="0"/>
            <wp:wrapThrough wrapText="bothSides">
              <wp:wrapPolygon edited="0">
                <wp:start x="0" y="0"/>
                <wp:lineTo x="0" y="21471"/>
                <wp:lineTo x="21525" y="21471"/>
                <wp:lineTo x="21525"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Figure 1</w:t>
      </w:r>
      <w:r w:rsidR="006E0ACA">
        <w:rPr>
          <w:rFonts w:ascii="Times New Roman" w:hAnsi="Times New Roman" w:cs="Times New Roman"/>
          <w:i/>
          <w:iCs/>
          <w:sz w:val="24"/>
          <w:szCs w:val="24"/>
        </w:rPr>
        <w:t xml:space="preserve"> </w:t>
      </w:r>
      <w:bookmarkStart w:id="0" w:name="_Hlk124713774"/>
      <w:r w:rsidR="006E0ACA">
        <w:rPr>
          <w:rFonts w:ascii="Times New Roman" w:hAnsi="Times New Roman" w:cs="Times New Roman"/>
          <w:i/>
          <w:iCs/>
          <w:sz w:val="24"/>
          <w:szCs w:val="24"/>
        </w:rPr>
        <w:t xml:space="preserve">shows the difference between the 3-Point Shooting of Home and Away teams during the 2021-2022 ACC Men’s Basketball season. </w:t>
      </w:r>
      <w:bookmarkEnd w:id="0"/>
    </w:p>
    <w:p w14:paraId="2AC53C16" w14:textId="77777777" w:rsidR="006B66E6" w:rsidRDefault="006B66E6" w:rsidP="00DE2348">
      <w:pPr>
        <w:spacing w:line="480" w:lineRule="auto"/>
        <w:rPr>
          <w:rFonts w:ascii="Times New Roman" w:hAnsi="Times New Roman" w:cs="Times New Roman"/>
          <w:sz w:val="24"/>
          <w:szCs w:val="24"/>
        </w:rPr>
      </w:pPr>
    </w:p>
    <w:p w14:paraId="6105F368" w14:textId="14BED6F4" w:rsidR="004356D7" w:rsidRDefault="006B66E6" w:rsidP="006B66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Pr>
          <w:rFonts w:ascii="Times New Roman" w:hAnsi="Times New Roman" w:cs="Times New Roman"/>
          <w:i/>
          <w:iCs/>
          <w:sz w:val="24"/>
          <w:szCs w:val="24"/>
        </w:rPr>
        <w:t xml:space="preserve">Figure 1 </w:t>
      </w:r>
      <w:r>
        <w:rPr>
          <w:rFonts w:ascii="Times New Roman" w:hAnsi="Times New Roman" w:cs="Times New Roman"/>
          <w:sz w:val="24"/>
          <w:szCs w:val="24"/>
        </w:rPr>
        <w:t xml:space="preserve">shows, </w:t>
      </w:r>
      <w:r w:rsidR="008B6EE5">
        <w:rPr>
          <w:rFonts w:ascii="Times New Roman" w:hAnsi="Times New Roman" w:cs="Times New Roman"/>
          <w:sz w:val="24"/>
          <w:szCs w:val="24"/>
        </w:rPr>
        <w:t>the</w:t>
      </w:r>
      <w:r w:rsidR="004356D7">
        <w:rPr>
          <w:rFonts w:ascii="Times New Roman" w:hAnsi="Times New Roman" w:cs="Times New Roman"/>
          <w:sz w:val="24"/>
          <w:szCs w:val="24"/>
        </w:rPr>
        <w:t xml:space="preserve"> findings are that road teams </w:t>
      </w:r>
      <w:r w:rsidR="00980EFB">
        <w:rPr>
          <w:rFonts w:ascii="Times New Roman" w:hAnsi="Times New Roman" w:cs="Times New Roman"/>
          <w:sz w:val="24"/>
          <w:szCs w:val="24"/>
        </w:rPr>
        <w:t xml:space="preserve">shot 34.35% from three, while home teams shot 36.07% from three, </w:t>
      </w:r>
      <w:r w:rsidR="003533DD">
        <w:rPr>
          <w:rFonts w:ascii="Times New Roman" w:hAnsi="Times New Roman" w:cs="Times New Roman"/>
          <w:sz w:val="24"/>
          <w:szCs w:val="24"/>
        </w:rPr>
        <w:t>meaning that home teams shot 1.72%</w:t>
      </w:r>
      <w:r w:rsidR="00423AC2">
        <w:rPr>
          <w:rFonts w:ascii="Times New Roman" w:hAnsi="Times New Roman" w:cs="Times New Roman"/>
          <w:sz w:val="24"/>
          <w:szCs w:val="24"/>
        </w:rPr>
        <w:t xml:space="preserve"> better</w:t>
      </w:r>
      <w:r w:rsidR="003533DD">
        <w:rPr>
          <w:rFonts w:ascii="Times New Roman" w:hAnsi="Times New Roman" w:cs="Times New Roman"/>
          <w:sz w:val="24"/>
          <w:szCs w:val="24"/>
        </w:rPr>
        <w:t xml:space="preserve"> from three in the ACC during the 2021-2022 season. </w:t>
      </w:r>
      <w:r w:rsidR="00A35581">
        <w:rPr>
          <w:rFonts w:ascii="Times New Roman" w:hAnsi="Times New Roman" w:cs="Times New Roman"/>
          <w:sz w:val="24"/>
          <w:szCs w:val="24"/>
        </w:rPr>
        <w:t>This shows that there is a significant difference in shooting between home and away games. However, there are a few mitigating factors that can explain this. In the non-conference, ACC teams typically play weaker teams at home</w:t>
      </w:r>
      <w:r w:rsidR="00121B43">
        <w:rPr>
          <w:rFonts w:ascii="Times New Roman" w:hAnsi="Times New Roman" w:cs="Times New Roman"/>
          <w:sz w:val="24"/>
          <w:szCs w:val="24"/>
        </w:rPr>
        <w:t>. They typically shoot better from three against these weaker teams in the non-conference than conference opponents with better defenses.</w:t>
      </w:r>
      <w:r w:rsidR="00281A0E">
        <w:rPr>
          <w:rFonts w:ascii="Times New Roman" w:hAnsi="Times New Roman" w:cs="Times New Roman"/>
          <w:sz w:val="24"/>
          <w:szCs w:val="24"/>
        </w:rPr>
        <w:t xml:space="preserve"> Additionally, luck could be a factor or a player just happening to have a </w:t>
      </w:r>
      <w:r w:rsidR="003D6068">
        <w:rPr>
          <w:rFonts w:ascii="Times New Roman" w:hAnsi="Times New Roman" w:cs="Times New Roman"/>
          <w:sz w:val="24"/>
          <w:szCs w:val="24"/>
        </w:rPr>
        <w:t>good</w:t>
      </w:r>
      <w:r w:rsidR="00281A0E">
        <w:rPr>
          <w:rFonts w:ascii="Times New Roman" w:hAnsi="Times New Roman" w:cs="Times New Roman"/>
          <w:sz w:val="24"/>
          <w:szCs w:val="24"/>
        </w:rPr>
        <w:t xml:space="preserve"> shooting day</w:t>
      </w:r>
      <w:r w:rsidR="0089575E">
        <w:rPr>
          <w:rFonts w:ascii="Times New Roman" w:hAnsi="Times New Roman" w:cs="Times New Roman"/>
          <w:sz w:val="24"/>
          <w:szCs w:val="24"/>
        </w:rPr>
        <w:t xml:space="preserve">. The in-conference scheduling also is a big factor because </w:t>
      </w:r>
      <w:r w:rsidR="0062461D">
        <w:rPr>
          <w:rFonts w:ascii="Times New Roman" w:hAnsi="Times New Roman" w:cs="Times New Roman"/>
          <w:sz w:val="24"/>
          <w:szCs w:val="24"/>
        </w:rPr>
        <w:t xml:space="preserve">not every team plays the same teams at home and away. For example, Virginia is one of the best defensive </w:t>
      </w:r>
      <w:r w:rsidR="0062461D">
        <w:rPr>
          <w:rFonts w:ascii="Times New Roman" w:hAnsi="Times New Roman" w:cs="Times New Roman"/>
          <w:sz w:val="24"/>
          <w:szCs w:val="24"/>
        </w:rPr>
        <w:lastRenderedPageBreak/>
        <w:t>teams in the country; so</w:t>
      </w:r>
      <w:r w:rsidR="00C74287">
        <w:rPr>
          <w:rFonts w:ascii="Times New Roman" w:hAnsi="Times New Roman" w:cs="Times New Roman"/>
          <w:sz w:val="24"/>
          <w:szCs w:val="24"/>
        </w:rPr>
        <w:t xml:space="preserve">, </w:t>
      </w:r>
      <w:r w:rsidR="004D4D5B">
        <w:rPr>
          <w:rFonts w:ascii="Times New Roman" w:hAnsi="Times New Roman" w:cs="Times New Roman"/>
          <w:sz w:val="24"/>
          <w:szCs w:val="24"/>
        </w:rPr>
        <w:t xml:space="preserve">teams that only played Virginia at home </w:t>
      </w:r>
      <w:r w:rsidR="006C1EE4">
        <w:rPr>
          <w:rFonts w:ascii="Times New Roman" w:hAnsi="Times New Roman" w:cs="Times New Roman"/>
          <w:sz w:val="24"/>
          <w:szCs w:val="24"/>
        </w:rPr>
        <w:t xml:space="preserve">may have shot slightly worse at home compared to teams that played Virginia on the road or both home and away. </w:t>
      </w:r>
    </w:p>
    <w:p w14:paraId="18207281" w14:textId="043ADED4" w:rsidR="003F56EA" w:rsidRDefault="003F56EA" w:rsidP="006B66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looking at individual teams, </w:t>
      </w:r>
      <w:r w:rsidR="00027251">
        <w:rPr>
          <w:rFonts w:ascii="Times New Roman" w:hAnsi="Times New Roman" w:cs="Times New Roman"/>
          <w:sz w:val="24"/>
          <w:szCs w:val="24"/>
        </w:rPr>
        <w:t xml:space="preserve">the largest difference in home and away shooting was Clemson. Clemson shot 37.12% from three at home, while only shooting 30.40% on the road, meaning they shot 6.72% better at home than on the road (Figure 2). </w:t>
      </w:r>
    </w:p>
    <w:p w14:paraId="7CB18AE7" w14:textId="7A2AF8D6" w:rsidR="00027251" w:rsidRPr="00027251" w:rsidRDefault="00027251" w:rsidP="006B66E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99127E" wp14:editId="2BDDB5AA">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E225C49" w14:textId="262201D4" w:rsidR="0043057F" w:rsidRPr="0043057F" w:rsidRDefault="0043057F" w:rsidP="0043057F">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2 </w:t>
      </w:r>
      <w:r>
        <w:rPr>
          <w:rFonts w:ascii="Times New Roman" w:hAnsi="Times New Roman" w:cs="Times New Roman"/>
          <w:i/>
          <w:iCs/>
          <w:sz w:val="24"/>
          <w:szCs w:val="24"/>
        </w:rPr>
        <w:t xml:space="preserve">shows the difference between the 3-Point Shooting of Home and Away </w:t>
      </w:r>
      <w:r>
        <w:rPr>
          <w:rFonts w:ascii="Times New Roman" w:hAnsi="Times New Roman" w:cs="Times New Roman"/>
          <w:i/>
          <w:iCs/>
          <w:sz w:val="24"/>
          <w:szCs w:val="24"/>
        </w:rPr>
        <w:t xml:space="preserve">games for Clemson </w:t>
      </w:r>
      <w:r>
        <w:rPr>
          <w:rFonts w:ascii="Times New Roman" w:hAnsi="Times New Roman" w:cs="Times New Roman"/>
          <w:i/>
          <w:iCs/>
          <w:sz w:val="24"/>
          <w:szCs w:val="24"/>
        </w:rPr>
        <w:t>during the 2021-2022 Men’s Basketball season.</w:t>
      </w:r>
    </w:p>
    <w:p w14:paraId="57B7E10A" w14:textId="77777777" w:rsidR="0043057F" w:rsidRDefault="0043057F" w:rsidP="00DE2348">
      <w:pPr>
        <w:spacing w:line="480" w:lineRule="auto"/>
        <w:rPr>
          <w:rFonts w:ascii="Times New Roman" w:hAnsi="Times New Roman" w:cs="Times New Roman"/>
          <w:sz w:val="24"/>
          <w:szCs w:val="24"/>
        </w:rPr>
      </w:pPr>
    </w:p>
    <w:p w14:paraId="29763025" w14:textId="173B444C" w:rsidR="005603DD" w:rsidRDefault="00423AC2" w:rsidP="0043057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this is just one season and within the ACC, this study can be expanded to look at all of college basketball across decades.</w:t>
      </w:r>
      <w:r w:rsidR="00067EEC">
        <w:rPr>
          <w:rFonts w:ascii="Times New Roman" w:hAnsi="Times New Roman" w:cs="Times New Roman"/>
          <w:sz w:val="24"/>
          <w:szCs w:val="24"/>
        </w:rPr>
        <w:t xml:space="preserve"> This research can also be expanded to include other metrics, such as </w:t>
      </w:r>
      <w:r w:rsidR="00606515">
        <w:rPr>
          <w:rFonts w:ascii="Times New Roman" w:hAnsi="Times New Roman" w:cs="Times New Roman"/>
          <w:sz w:val="24"/>
          <w:szCs w:val="24"/>
        </w:rPr>
        <w:t>defensive and offensive efficiency to weight the teams</w:t>
      </w:r>
      <w:r w:rsidR="0058641F">
        <w:rPr>
          <w:rFonts w:ascii="Times New Roman" w:hAnsi="Times New Roman" w:cs="Times New Roman"/>
          <w:sz w:val="24"/>
          <w:szCs w:val="24"/>
        </w:rPr>
        <w:t>’ abilities to shoot and stop three-point shooting.</w:t>
      </w:r>
      <w:r>
        <w:rPr>
          <w:rFonts w:ascii="Times New Roman" w:hAnsi="Times New Roman" w:cs="Times New Roman"/>
          <w:sz w:val="24"/>
          <w:szCs w:val="24"/>
        </w:rPr>
        <w:t xml:space="preserve"> </w:t>
      </w:r>
      <w:r w:rsidR="00A10E56">
        <w:rPr>
          <w:rFonts w:ascii="Times New Roman" w:hAnsi="Times New Roman" w:cs="Times New Roman"/>
          <w:sz w:val="24"/>
          <w:szCs w:val="24"/>
        </w:rPr>
        <w:t xml:space="preserve">This study has significant implications for the way ACC basketball </w:t>
      </w:r>
      <w:r w:rsidR="00A10E56">
        <w:rPr>
          <w:rFonts w:ascii="Times New Roman" w:hAnsi="Times New Roman" w:cs="Times New Roman"/>
          <w:sz w:val="24"/>
          <w:szCs w:val="24"/>
        </w:rPr>
        <w:lastRenderedPageBreak/>
        <w:t>teams can game plan. Knowing that they may shoot weaker on the road, they can plan to take fewer three</w:t>
      </w:r>
      <w:r w:rsidR="00121B43">
        <w:rPr>
          <w:rFonts w:ascii="Times New Roman" w:hAnsi="Times New Roman" w:cs="Times New Roman"/>
          <w:sz w:val="24"/>
          <w:szCs w:val="24"/>
        </w:rPr>
        <w:t>-</w:t>
      </w:r>
      <w:r w:rsidR="00A10E56">
        <w:rPr>
          <w:rFonts w:ascii="Times New Roman" w:hAnsi="Times New Roman" w:cs="Times New Roman"/>
          <w:sz w:val="24"/>
          <w:szCs w:val="24"/>
        </w:rPr>
        <w:t xml:space="preserve">point shots and </w:t>
      </w:r>
      <w:r w:rsidR="00121B43">
        <w:rPr>
          <w:rFonts w:ascii="Times New Roman" w:hAnsi="Times New Roman" w:cs="Times New Roman"/>
          <w:sz w:val="24"/>
          <w:szCs w:val="24"/>
        </w:rPr>
        <w:t>more two-point shots.</w:t>
      </w:r>
      <w:r w:rsidR="00216924" w:rsidRPr="00216924">
        <w:rPr>
          <w:rFonts w:ascii="Times New Roman" w:hAnsi="Times New Roman" w:cs="Times New Roman"/>
          <w:noProof/>
          <w:sz w:val="24"/>
          <w:szCs w:val="24"/>
        </w:rPr>
        <w:t xml:space="preserve"> </w:t>
      </w:r>
      <w:r w:rsidR="00974AAA">
        <w:rPr>
          <w:rFonts w:ascii="Times New Roman" w:hAnsi="Times New Roman" w:cs="Times New Roman"/>
          <w:noProof/>
          <w:sz w:val="24"/>
          <w:szCs w:val="24"/>
        </w:rPr>
        <w:t xml:space="preserve">Teams at home can utilize this information to </w:t>
      </w:r>
      <w:r w:rsidR="003F7DFC">
        <w:rPr>
          <w:rFonts w:ascii="Times New Roman" w:hAnsi="Times New Roman" w:cs="Times New Roman"/>
          <w:noProof/>
          <w:sz w:val="24"/>
          <w:szCs w:val="24"/>
        </w:rPr>
        <w:t xml:space="preserve">defend the paint more and send double teams, forcing teams to shoot more threes. </w:t>
      </w:r>
    </w:p>
    <w:p w14:paraId="32C470E4" w14:textId="77777777" w:rsidR="0009401A" w:rsidRDefault="0009401A" w:rsidP="00DE2348">
      <w:pPr>
        <w:spacing w:line="480" w:lineRule="auto"/>
        <w:rPr>
          <w:rFonts w:ascii="Times New Roman" w:hAnsi="Times New Roman" w:cs="Times New Roman"/>
          <w:sz w:val="24"/>
          <w:szCs w:val="24"/>
        </w:rPr>
      </w:pPr>
    </w:p>
    <w:p w14:paraId="67B381D1" w14:textId="4B4720EE" w:rsidR="0009401A" w:rsidRPr="00DE2348" w:rsidRDefault="0009401A" w:rsidP="00DE2348">
      <w:pPr>
        <w:spacing w:line="480" w:lineRule="auto"/>
        <w:rPr>
          <w:rFonts w:ascii="Times New Roman" w:hAnsi="Times New Roman" w:cs="Times New Roman"/>
          <w:sz w:val="24"/>
          <w:szCs w:val="24"/>
        </w:rPr>
      </w:pPr>
    </w:p>
    <w:sectPr w:rsidR="0009401A" w:rsidRPr="00DE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48"/>
    <w:rsid w:val="00027251"/>
    <w:rsid w:val="00067EEC"/>
    <w:rsid w:val="0009401A"/>
    <w:rsid w:val="00121B43"/>
    <w:rsid w:val="00187E32"/>
    <w:rsid w:val="00216924"/>
    <w:rsid w:val="0022520B"/>
    <w:rsid w:val="00281A0E"/>
    <w:rsid w:val="003533DD"/>
    <w:rsid w:val="003D6068"/>
    <w:rsid w:val="003F56EA"/>
    <w:rsid w:val="003F7DFC"/>
    <w:rsid w:val="00402174"/>
    <w:rsid w:val="00423AC2"/>
    <w:rsid w:val="0043057F"/>
    <w:rsid w:val="004356D7"/>
    <w:rsid w:val="004D4D5B"/>
    <w:rsid w:val="005603DD"/>
    <w:rsid w:val="0058641F"/>
    <w:rsid w:val="00606515"/>
    <w:rsid w:val="0062461D"/>
    <w:rsid w:val="00631E1D"/>
    <w:rsid w:val="00651E53"/>
    <w:rsid w:val="006B66E6"/>
    <w:rsid w:val="006C1EE4"/>
    <w:rsid w:val="006E0ACA"/>
    <w:rsid w:val="007D49EE"/>
    <w:rsid w:val="00865F97"/>
    <w:rsid w:val="0089575E"/>
    <w:rsid w:val="008B6EE5"/>
    <w:rsid w:val="009668A8"/>
    <w:rsid w:val="00974AAA"/>
    <w:rsid w:val="00980EFB"/>
    <w:rsid w:val="00A10E56"/>
    <w:rsid w:val="00A35581"/>
    <w:rsid w:val="00C74287"/>
    <w:rsid w:val="00D97F68"/>
    <w:rsid w:val="00DE2348"/>
    <w:rsid w:val="00F53483"/>
    <w:rsid w:val="00FE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934C"/>
  <w15:chartTrackingRefBased/>
  <w15:docId w15:val="{18C3C9A2-D394-4BD9-A650-0DC2E0A7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3-Point % for ACC Teams</a:t>
            </a:r>
            <a:r>
              <a:rPr lang="en-US" baseline="0"/>
              <a:t> During 2021-2022 Season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3-Point %</c:v>
                </c:pt>
              </c:strCache>
            </c:strRef>
          </c:tx>
          <c:spPr>
            <a:solidFill>
              <a:schemeClr val="accent1"/>
            </a:solidFill>
            <a:ln>
              <a:noFill/>
            </a:ln>
            <a:effectLst/>
          </c:spPr>
          <c:invertIfNegative val="0"/>
          <c:cat>
            <c:strRef>
              <c:f>Sheet1!$A$2:$A$3</c:f>
              <c:strCache>
                <c:ptCount val="2"/>
                <c:pt idx="0">
                  <c:v>Home</c:v>
                </c:pt>
                <c:pt idx="1">
                  <c:v>Away</c:v>
                </c:pt>
              </c:strCache>
            </c:strRef>
          </c:cat>
          <c:val>
            <c:numRef>
              <c:f>Sheet1!$B$2:$B$3</c:f>
              <c:numCache>
                <c:formatCode>General</c:formatCode>
                <c:ptCount val="2"/>
                <c:pt idx="0">
                  <c:v>36.07</c:v>
                </c:pt>
                <c:pt idx="1">
                  <c:v>34.35</c:v>
                </c:pt>
              </c:numCache>
            </c:numRef>
          </c:val>
          <c:extLst>
            <c:ext xmlns:c16="http://schemas.microsoft.com/office/drawing/2014/chart" uri="{C3380CC4-5D6E-409C-BE32-E72D297353CC}">
              <c16:uniqueId val="{00000000-826E-47DB-9D0B-752D8527E698}"/>
            </c:ext>
          </c:extLst>
        </c:ser>
        <c:dLbls>
          <c:showLegendKey val="0"/>
          <c:showVal val="0"/>
          <c:showCatName val="0"/>
          <c:showSerName val="0"/>
          <c:showPercent val="0"/>
          <c:showBubbleSize val="0"/>
        </c:dLbls>
        <c:gapWidth val="182"/>
        <c:axId val="1189874335"/>
        <c:axId val="1189875999"/>
      </c:barChart>
      <c:catAx>
        <c:axId val="11898743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875999"/>
        <c:crosses val="autoZero"/>
        <c:auto val="1"/>
        <c:lblAlgn val="ctr"/>
        <c:lblOffset val="100"/>
        <c:noMultiLvlLbl val="0"/>
      </c:catAx>
      <c:valAx>
        <c:axId val="1189875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874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Clemson</a:t>
            </a:r>
            <a:r>
              <a:rPr lang="en-US" baseline="0"/>
              <a:t> </a:t>
            </a:r>
            <a:r>
              <a:rPr lang="en-US"/>
              <a:t>3-Point % Home and Away in</a:t>
            </a:r>
            <a:r>
              <a:rPr lang="en-US" baseline="0"/>
              <a:t> the 2021-2022 Season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3-Point %</c:v>
                </c:pt>
              </c:strCache>
            </c:strRef>
          </c:tx>
          <c:spPr>
            <a:solidFill>
              <a:schemeClr val="accent2"/>
            </a:solidFill>
            <a:ln>
              <a:noFill/>
            </a:ln>
            <a:effectLst/>
          </c:spPr>
          <c:invertIfNegative val="0"/>
          <c:cat>
            <c:strRef>
              <c:f>Sheet1!$A$2:$A$3</c:f>
              <c:strCache>
                <c:ptCount val="2"/>
                <c:pt idx="0">
                  <c:v>Home</c:v>
                </c:pt>
                <c:pt idx="1">
                  <c:v>Away</c:v>
                </c:pt>
              </c:strCache>
            </c:strRef>
          </c:cat>
          <c:val>
            <c:numRef>
              <c:f>Sheet1!$B$2:$B$3</c:f>
              <c:numCache>
                <c:formatCode>General</c:formatCode>
                <c:ptCount val="2"/>
                <c:pt idx="0">
                  <c:v>37.119999999999997</c:v>
                </c:pt>
                <c:pt idx="1">
                  <c:v>30.4</c:v>
                </c:pt>
              </c:numCache>
            </c:numRef>
          </c:val>
          <c:extLst>
            <c:ext xmlns:c16="http://schemas.microsoft.com/office/drawing/2014/chart" uri="{C3380CC4-5D6E-409C-BE32-E72D297353CC}">
              <c16:uniqueId val="{00000000-20C5-4A14-83BF-AA1144663C5D}"/>
            </c:ext>
          </c:extLst>
        </c:ser>
        <c:dLbls>
          <c:showLegendKey val="0"/>
          <c:showVal val="0"/>
          <c:showCatName val="0"/>
          <c:showSerName val="0"/>
          <c:showPercent val="0"/>
          <c:showBubbleSize val="0"/>
        </c:dLbls>
        <c:gapWidth val="182"/>
        <c:axId val="1610773375"/>
        <c:axId val="1610772959"/>
      </c:barChart>
      <c:catAx>
        <c:axId val="16107733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772959"/>
        <c:crosses val="autoZero"/>
        <c:auto val="1"/>
        <c:lblAlgn val="ctr"/>
        <c:lblOffset val="100"/>
        <c:noMultiLvlLbl val="0"/>
      </c:catAx>
      <c:valAx>
        <c:axId val="1610772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773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Tessau</dc:creator>
  <cp:keywords/>
  <dc:description/>
  <cp:lastModifiedBy>Noah Tessau</cp:lastModifiedBy>
  <cp:revision>38</cp:revision>
  <dcterms:created xsi:type="dcterms:W3CDTF">2023-01-15T22:59:00Z</dcterms:created>
  <dcterms:modified xsi:type="dcterms:W3CDTF">2023-01-16T03:37:00Z</dcterms:modified>
</cp:coreProperties>
</file>