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差旅报销实施细则</w:t>
      </w:r>
    </w:p>
    <w:p>
      <w:pPr>
        <w:pStyle w:val="Heading2"/>
      </w:pPr>
      <w:r>
        <w:t>一、适用范围</w:t>
      </w:r>
    </w:p>
    <w:p>
      <w:r>
        <w:t>本细则适用于公司全体员工的国内及国外出差活动所产生的交通费、住宿费、伙食补助费以及其他因公支出的报销申请。</w:t>
      </w:r>
    </w:p>
    <w:p>
      <w:pPr>
        <w:pStyle w:val="Heading2"/>
      </w:pPr>
      <w:r>
        <w:t>二、差旅审批</w:t>
      </w:r>
    </w:p>
    <w:p>
      <w:r>
        <w:t>员工出差前须在办公系统提交出差申请，写明出差事由、目的地、起止日期与预算金额，经直属主管审批同意后方可出行。未经审批擅自出差的，费用不予报销。</w:t>
      </w:r>
    </w:p>
    <w:p>
      <w:r>
        <w:t>紧急出差可先口头请示主管，回程后三个工作日内补办审批手续。</w:t>
      </w:r>
    </w:p>
    <w:p>
      <w:pPr>
        <w:pStyle w:val="Heading2"/>
      </w:pPr>
      <w:r>
        <w:t>三、交通费标准</w:t>
      </w:r>
    </w:p>
    <w:p>
      <w:r>
        <w:t>市内交通凭票实报实销。城际交通方面，总监及以上级别可乘坐高铁商务座或飞机公务舱，其余员工乘坐高铁二等座或飞机经济舱。长途夜间乘车可选择软卧。</w:t>
      </w:r>
    </w:p>
    <w:p>
      <w:r>
        <w:t>自驾出差的，按实际里程每公里一元二角补贴，过路费与停车费凭票报销。</w:t>
      </w:r>
    </w:p>
    <w:p>
      <w:pPr>
        <w:pStyle w:val="Heading2"/>
      </w:pPr>
      <w:r>
        <w:t>四、住宿费标准</w:t>
      </w:r>
    </w:p>
    <w:p>
      <w:r>
        <w:t>一线城市每晚不超过六百元，省会城市不超过四百五十元，其他城市不超过三百五十元。超标部分由个人承担。参加会议或培训且主办方统一安排住宿的，按主办方标准执行。</w:t>
      </w:r>
    </w:p>
    <w:p>
      <w:pPr>
        <w:pStyle w:val="Heading2"/>
      </w:pPr>
      <w:r>
        <w:t>五、伙食补助</w:t>
      </w:r>
    </w:p>
    <w:p>
      <w:r>
        <w:t>出差期间伙食补助按每人每天一百元包干发放，不再凭票报销。当日往返不足八小时的，减半发放。</w:t>
      </w:r>
    </w:p>
    <w:p>
      <w:pPr>
        <w:pStyle w:val="Heading2"/>
      </w:pPr>
      <w:r>
        <w:t>六、报销时限与流程</w:t>
      </w:r>
    </w:p>
    <w:p>
      <w:r>
        <w:t>出差结束后十个工作日内提交报销单，逾期未提交的，需由部门负责人书面说明原因。报销单需附全部原始票据，粘贴在专用报销凭证纸上，经主管、财务、总经理三级审批后打款。</w:t>
      </w:r>
    </w:p>
    <w:p>
      <w:r>
        <w:t>虚报、重复报销或伪造票据的，除追回款项外，视情节给予纪律处分。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