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984"/>
        <w:gridCol w:w="5386"/>
        <w:gridCol w:w="2835"/>
      </w:tblGrid>
      <w:tr>
        <w:tc>
          <w:tcPr>
            <w:tcW w:type="dxa" w:w="1984"/>
          </w:tcPr>
          <w:p>
            <w:pPr>
              <w:spacing w:after="20"/>
              <w:jc w:val="center"/>
            </w:pPr>
            <w:r>
              <w:rPr>
                <w:b/>
                <w:i w:val="0"/>
              </w:rPr>
              <w:t>Ref. 001</w:t>
            </w:r>
          </w:p>
        </w:tc>
        <w:tc>
          <w:tcPr>
            <w:tcW w:type="dxa" w:w="5386"/>
          </w:tcPr>
          <w:p>
            <w:pPr>
              <w:spacing w:after="20"/>
              <w:jc w:val="center"/>
            </w:pPr>
            <w:r>
              <w:rPr>
                <w:b/>
                <w:i w:val="0"/>
                <w:sz w:val="28"/>
              </w:rPr>
              <w:t>Hazardous Substance Risk Assessment</w:t>
            </w:r>
          </w:p>
        </w:tc>
        <w:tc>
          <w:tcPr>
            <w:tcW w:type="dxa" w:w="2835"/>
          </w:tcPr>
          <w:p>
            <w:pPr>
              <w:spacing w:after="20"/>
              <w:jc w:val="center"/>
            </w:pPr>
            <w:r>
              <w:rPr>
                <w:b/>
                <w:i w:val="0"/>
              </w:rPr>
              <w:t>Chemical Name</w:t>
            </w:r>
          </w:p>
          <w:p>
            <w:pPr>
              <w:spacing w:after="20"/>
              <w:jc w:val="center"/>
            </w:pPr>
            <w:r>
              <w:rPr>
                <w:b w:val="0"/>
                <w:i w:val="0"/>
              </w:rPr>
              <w:t>Ethanol</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2551"/>
        <w:gridCol w:w="7654"/>
      </w:tblGrid>
      <w:tr>
        <w:tc>
          <w:tcPr>
            <w:tcW w:type="dxa" w:w="2551"/>
          </w:tcPr>
          <w:p>
            <w:pPr>
              <w:spacing w:after="20"/>
            </w:pPr>
            <w:r>
              <w:rPr>
                <w:b/>
                <w:i w:val="0"/>
              </w:rPr>
              <w:t>Substance(s) &amp; Manufacturer/s</w:t>
            </w:r>
          </w:p>
        </w:tc>
        <w:tc>
          <w:tcPr>
            <w:tcW w:type="dxa" w:w="7654"/>
          </w:tcPr>
          <w:p>
            <w:pPr>
              <w:spacing w:after="20"/>
            </w:pPr>
            <w:r>
              <w:rPr>
                <w:b w:val="0"/>
                <w:i w:val="0"/>
              </w:rPr>
              <w:t>Ethanol (C2H6O, CAS 64-17-5)</w:t>
            </w:r>
          </w:p>
        </w:tc>
      </w:tr>
      <w:tr>
        <w:tc>
          <w:tcPr>
            <w:tcW w:type="dxa" w:w="2551"/>
          </w:tcPr>
          <w:p>
            <w:pPr>
              <w:spacing w:after="20"/>
            </w:pPr>
            <w:r>
              <w:rPr>
                <w:b/>
                <w:i w:val="0"/>
              </w:rPr>
              <w:t>Location/s</w:t>
            </w:r>
          </w:p>
        </w:tc>
        <w:tc>
          <w:tcPr>
            <w:tcW w:type="dxa" w:w="7654"/>
          </w:tcPr>
          <w:p>
            <w:pPr>
              <w:spacing w:after="20"/>
            </w:pPr>
            <w:r>
              <w:rPr>
                <w:b w:val="0"/>
                <w:i w:val="0"/>
              </w:rPr>
              <w:t>Lab 2.14</w:t>
            </w:r>
          </w:p>
        </w:tc>
      </w:tr>
      <w:tr>
        <w:tc>
          <w:tcPr>
            <w:tcW w:type="dxa" w:w="2551"/>
          </w:tcPr>
          <w:p>
            <w:pPr>
              <w:spacing w:after="20"/>
            </w:pPr>
            <w:r>
              <w:rPr>
                <w:b/>
                <w:i w:val="0"/>
              </w:rPr>
              <w:t>Persons at Risk</w:t>
            </w:r>
          </w:p>
        </w:tc>
        <w:tc>
          <w:tcPr>
            <w:tcW w:type="dxa" w:w="7654"/>
          </w:tcPr>
          <w:p>
            <w:pPr>
              <w:spacing w:after="20"/>
            </w:pPr>
            <w:r>
              <w:rPr>
                <w:b w:val="0"/>
                <w:i w:val="0"/>
              </w:rPr>
              <w:t>☒ Employees     ☐ Students     ☐ Contractors     ☐ Public</w:t>
            </w:r>
          </w:p>
        </w:tc>
      </w:tr>
      <w:tr>
        <w:tc>
          <w:tcPr>
            <w:tcW w:type="dxa" w:w="2551"/>
          </w:tcPr>
          <w:p>
            <w:pPr>
              <w:spacing w:after="20"/>
            </w:pPr>
            <w:r>
              <w:rPr>
                <w:b/>
                <w:i w:val="0"/>
              </w:rPr>
              <w:t>Task/s &amp; Description</w:t>
            </w:r>
          </w:p>
        </w:tc>
        <w:tc>
          <w:tcPr>
            <w:tcW w:type="dxa" w:w="7654"/>
          </w:tcPr>
          <w:p>
            <w:pPr>
              <w:spacing w:after="20"/>
            </w:pPr>
            <w:r>
              <w:rPr>
                <w:b w:val="0"/>
                <w:i w:val="0"/>
              </w:rPr>
              <w:t>Test experiment</w:t>
            </w:r>
          </w:p>
        </w:tc>
      </w:tr>
      <w:tr>
        <w:tc>
          <w:tcPr>
            <w:tcW w:type="dxa" w:w="2551"/>
          </w:tcPr>
          <w:p>
            <w:pPr>
              <w:spacing w:after="20"/>
            </w:pPr>
            <w:r>
              <w:rPr>
                <w:b/>
                <w:i w:val="0"/>
              </w:rPr>
              <w:t>Quantity used</w:t>
            </w:r>
          </w:p>
        </w:tc>
        <w:tc>
          <w:tcPr>
            <w:tcW w:type="dxa" w:w="7654"/>
          </w:tcPr>
          <w:p>
            <w:pPr>
              <w:spacing w:after="20"/>
            </w:pPr>
            <w:r>
              <w:rPr>
                <w:b w:val="0"/>
                <w:i w:val="0"/>
              </w:rPr>
              <w:t>50 mL</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Classification</w:t>
            </w:r>
            <w:r>
              <w:rPr>
                <w:b/>
                <w:i/>
              </w:rPr>
              <w:t xml:space="preserve"> (state the category of danger)</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i w:val="0"/>
              </w:rPr>
              <w:t>Hazard pictograms – select all that apply to the work activity.</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134"/>
        <w:gridCol w:w="1134"/>
        <w:gridCol w:w="1134"/>
        <w:gridCol w:w="1134"/>
        <w:gridCol w:w="1134"/>
        <w:gridCol w:w="1134"/>
        <w:gridCol w:w="1134"/>
        <w:gridCol w:w="1134"/>
        <w:gridCol w:w="1134"/>
      </w:tblGrid>
      <w:tr>
        <w:tc>
          <w:tcPr>
            <w:tcW w:type="dxa" w:w="1134"/>
          </w:tcPr>
          <w:p>
            <w:pPr>
              <w:jc w:val="center"/>
            </w:pPr>
            <w:r>
              <w:drawing>
                <wp:inline xmlns:a="http://schemas.openxmlformats.org/drawingml/2006/main" xmlns:pic="http://schemas.openxmlformats.org/drawingml/2006/picture">
                  <wp:extent cx="540000" cy="540000"/>
                  <wp:docPr id="1" name="Picture 1"/>
                  <wp:cNvGraphicFramePr>
                    <a:graphicFrameLocks noChangeAspect="1"/>
                  </wp:cNvGraphicFramePr>
                  <a:graphic>
                    <a:graphicData uri="http://schemas.openxmlformats.org/drawingml/2006/picture">
                      <pic:pic>
                        <pic:nvPicPr>
                          <pic:cNvPr id="0" name="GHS08.png"/>
                          <pic:cNvPicPr/>
                        </pic:nvPicPr>
                        <pic:blipFill>
                          <a:blip r:embed="rId9"/>
                          <a:stretch>
                            <a:fillRect/>
                          </a:stretch>
                        </pic:blipFill>
                        <pic:spPr>
                          <a:xfrm>
                            <a:off x="0" y="0"/>
                            <a:ext cx="540000" cy="540000"/>
                          </a:xfrm>
                          <a:prstGeom prst="rect"/>
                        </pic:spPr>
                      </pic:pic>
                    </a:graphicData>
                  </a:graphic>
                </wp:inline>
              </w:drawing>
            </w:r>
          </w:p>
        </w:tc>
        <w:tc>
          <w:tcPr>
            <w:tcW w:type="dxa" w:w="1134"/>
          </w:tcPr>
          <w:p>
            <w:pPr>
              <w:jc w:val="center"/>
            </w:pPr>
            <w:r>
              <w:drawing>
                <wp:inline xmlns:a="http://schemas.openxmlformats.org/drawingml/2006/main" xmlns:pic="http://schemas.openxmlformats.org/drawingml/2006/picture">
                  <wp:extent cx="540000" cy="540000"/>
                  <wp:docPr id="2" name="Picture 2"/>
                  <wp:cNvGraphicFramePr>
                    <a:graphicFrameLocks noChangeAspect="1"/>
                  </wp:cNvGraphicFramePr>
                  <a:graphic>
                    <a:graphicData uri="http://schemas.openxmlformats.org/drawingml/2006/picture">
                      <pic:pic>
                        <pic:nvPicPr>
                          <pic:cNvPr id="0" name="GHS06.png"/>
                          <pic:cNvPicPr/>
                        </pic:nvPicPr>
                        <pic:blipFill>
                          <a:blip r:embed="rId10"/>
                          <a:stretch>
                            <a:fillRect/>
                          </a:stretch>
                        </pic:blipFill>
                        <pic:spPr>
                          <a:xfrm>
                            <a:off x="0" y="0"/>
                            <a:ext cx="540000" cy="540000"/>
                          </a:xfrm>
                          <a:prstGeom prst="rect"/>
                        </pic:spPr>
                      </pic:pic>
                    </a:graphicData>
                  </a:graphic>
                </wp:inline>
              </w:drawing>
            </w:r>
          </w:p>
        </w:tc>
        <w:tc>
          <w:tcPr>
            <w:tcW w:type="dxa" w:w="1134"/>
          </w:tcPr>
          <w:p>
            <w:pPr>
              <w:jc w:val="center"/>
            </w:pPr>
            <w:r>
              <w:drawing>
                <wp:inline xmlns:a="http://schemas.openxmlformats.org/drawingml/2006/main" xmlns:pic="http://schemas.openxmlformats.org/drawingml/2006/picture">
                  <wp:extent cx="540000" cy="540000"/>
                  <wp:docPr id="3" name="Picture 3"/>
                  <wp:cNvGraphicFramePr>
                    <a:graphicFrameLocks noChangeAspect="1"/>
                  </wp:cNvGraphicFramePr>
                  <a:graphic>
                    <a:graphicData uri="http://schemas.openxmlformats.org/drawingml/2006/picture">
                      <pic:pic>
                        <pic:nvPicPr>
                          <pic:cNvPr id="0" name="GHS05.png"/>
                          <pic:cNvPicPr/>
                        </pic:nvPicPr>
                        <pic:blipFill>
                          <a:blip r:embed="rId11"/>
                          <a:stretch>
                            <a:fillRect/>
                          </a:stretch>
                        </pic:blipFill>
                        <pic:spPr>
                          <a:xfrm>
                            <a:off x="0" y="0"/>
                            <a:ext cx="540000" cy="540000"/>
                          </a:xfrm>
                          <a:prstGeom prst="rect"/>
                        </pic:spPr>
                      </pic:pic>
                    </a:graphicData>
                  </a:graphic>
                </wp:inline>
              </w:drawing>
            </w:r>
          </w:p>
        </w:tc>
        <w:tc>
          <w:tcPr>
            <w:tcW w:type="dxa" w:w="1134"/>
          </w:tcPr>
          <w:p>
            <w:pPr>
              <w:jc w:val="center"/>
            </w:pPr>
            <w:r>
              <w:drawing>
                <wp:inline xmlns:a="http://schemas.openxmlformats.org/drawingml/2006/main" xmlns:pic="http://schemas.openxmlformats.org/drawingml/2006/picture">
                  <wp:extent cx="540000" cy="540000"/>
                  <wp:docPr id="4" name="Picture 4"/>
                  <wp:cNvGraphicFramePr>
                    <a:graphicFrameLocks noChangeAspect="1"/>
                  </wp:cNvGraphicFramePr>
                  <a:graphic>
                    <a:graphicData uri="http://schemas.openxmlformats.org/drawingml/2006/picture">
                      <pic:pic>
                        <pic:nvPicPr>
                          <pic:cNvPr id="0" name="GHS07.png"/>
                          <pic:cNvPicPr/>
                        </pic:nvPicPr>
                        <pic:blipFill>
                          <a:blip r:embed="rId12"/>
                          <a:stretch>
                            <a:fillRect/>
                          </a:stretch>
                        </pic:blipFill>
                        <pic:spPr>
                          <a:xfrm>
                            <a:off x="0" y="0"/>
                            <a:ext cx="540000" cy="540000"/>
                          </a:xfrm>
                          <a:prstGeom prst="rect"/>
                        </pic:spPr>
                      </pic:pic>
                    </a:graphicData>
                  </a:graphic>
                </wp:inline>
              </w:drawing>
            </w:r>
          </w:p>
        </w:tc>
        <w:tc>
          <w:tcPr>
            <w:tcW w:type="dxa" w:w="1134"/>
          </w:tcPr>
          <w:p>
            <w:pPr>
              <w:jc w:val="center"/>
            </w:pPr>
            <w:r>
              <w:drawing>
                <wp:inline xmlns:a="http://schemas.openxmlformats.org/drawingml/2006/main" xmlns:pic="http://schemas.openxmlformats.org/drawingml/2006/picture">
                  <wp:extent cx="540000" cy="540000"/>
                  <wp:docPr id="5" name="Picture 5"/>
                  <wp:cNvGraphicFramePr>
                    <a:graphicFrameLocks noChangeAspect="1"/>
                  </wp:cNvGraphicFramePr>
                  <a:graphic>
                    <a:graphicData uri="http://schemas.openxmlformats.org/drawingml/2006/picture">
                      <pic:pic>
                        <pic:nvPicPr>
                          <pic:cNvPr id="0" name="GHS02.png"/>
                          <pic:cNvPicPr/>
                        </pic:nvPicPr>
                        <pic:blipFill>
                          <a:blip r:embed="rId13"/>
                          <a:stretch>
                            <a:fillRect/>
                          </a:stretch>
                        </pic:blipFill>
                        <pic:spPr>
                          <a:xfrm>
                            <a:off x="0" y="0"/>
                            <a:ext cx="540000" cy="540000"/>
                          </a:xfrm>
                          <a:prstGeom prst="rect"/>
                        </pic:spPr>
                      </pic:pic>
                    </a:graphicData>
                  </a:graphic>
                </wp:inline>
              </w:drawing>
            </w:r>
          </w:p>
        </w:tc>
        <w:tc>
          <w:tcPr>
            <w:tcW w:type="dxa" w:w="1134"/>
          </w:tcPr>
          <w:p>
            <w:pPr>
              <w:jc w:val="center"/>
            </w:pPr>
            <w:r>
              <w:drawing>
                <wp:inline xmlns:a="http://schemas.openxmlformats.org/drawingml/2006/main" xmlns:pic="http://schemas.openxmlformats.org/drawingml/2006/picture">
                  <wp:extent cx="540000" cy="540000"/>
                  <wp:docPr id="6" name="Picture 6"/>
                  <wp:cNvGraphicFramePr>
                    <a:graphicFrameLocks noChangeAspect="1"/>
                  </wp:cNvGraphicFramePr>
                  <a:graphic>
                    <a:graphicData uri="http://schemas.openxmlformats.org/drawingml/2006/picture">
                      <pic:pic>
                        <pic:nvPicPr>
                          <pic:cNvPr id="0" name="GHS03.png"/>
                          <pic:cNvPicPr/>
                        </pic:nvPicPr>
                        <pic:blipFill>
                          <a:blip r:embed="rId14"/>
                          <a:stretch>
                            <a:fillRect/>
                          </a:stretch>
                        </pic:blipFill>
                        <pic:spPr>
                          <a:xfrm>
                            <a:off x="0" y="0"/>
                            <a:ext cx="540000" cy="540000"/>
                          </a:xfrm>
                          <a:prstGeom prst="rect"/>
                        </pic:spPr>
                      </pic:pic>
                    </a:graphicData>
                  </a:graphic>
                </wp:inline>
              </w:drawing>
            </w:r>
          </w:p>
        </w:tc>
        <w:tc>
          <w:tcPr>
            <w:tcW w:type="dxa" w:w="1134"/>
          </w:tcPr>
          <w:p>
            <w:pPr>
              <w:jc w:val="center"/>
            </w:pPr>
            <w:r>
              <w:drawing>
                <wp:inline xmlns:a="http://schemas.openxmlformats.org/drawingml/2006/main" xmlns:pic="http://schemas.openxmlformats.org/drawingml/2006/picture">
                  <wp:extent cx="540000" cy="540000"/>
                  <wp:docPr id="7" name="Picture 7"/>
                  <wp:cNvGraphicFramePr>
                    <a:graphicFrameLocks noChangeAspect="1"/>
                  </wp:cNvGraphicFramePr>
                  <a:graphic>
                    <a:graphicData uri="http://schemas.openxmlformats.org/drawingml/2006/picture">
                      <pic:pic>
                        <pic:nvPicPr>
                          <pic:cNvPr id="0" name="GHS01.png"/>
                          <pic:cNvPicPr/>
                        </pic:nvPicPr>
                        <pic:blipFill>
                          <a:blip r:embed="rId15"/>
                          <a:stretch>
                            <a:fillRect/>
                          </a:stretch>
                        </pic:blipFill>
                        <pic:spPr>
                          <a:xfrm>
                            <a:off x="0" y="0"/>
                            <a:ext cx="540000" cy="540000"/>
                          </a:xfrm>
                          <a:prstGeom prst="rect"/>
                        </pic:spPr>
                      </pic:pic>
                    </a:graphicData>
                  </a:graphic>
                </wp:inline>
              </w:drawing>
            </w:r>
          </w:p>
        </w:tc>
        <w:tc>
          <w:tcPr>
            <w:tcW w:type="dxa" w:w="1134"/>
          </w:tcPr>
          <w:p>
            <w:pPr>
              <w:jc w:val="center"/>
            </w:pPr>
            <w:r>
              <w:drawing>
                <wp:inline xmlns:a="http://schemas.openxmlformats.org/drawingml/2006/main" xmlns:pic="http://schemas.openxmlformats.org/drawingml/2006/picture">
                  <wp:extent cx="540000" cy="540000"/>
                  <wp:docPr id="8" name="Picture 8"/>
                  <wp:cNvGraphicFramePr>
                    <a:graphicFrameLocks noChangeAspect="1"/>
                  </wp:cNvGraphicFramePr>
                  <a:graphic>
                    <a:graphicData uri="http://schemas.openxmlformats.org/drawingml/2006/picture">
                      <pic:pic>
                        <pic:nvPicPr>
                          <pic:cNvPr id="0" name="GHS04.png"/>
                          <pic:cNvPicPr/>
                        </pic:nvPicPr>
                        <pic:blipFill>
                          <a:blip r:embed="rId16"/>
                          <a:stretch>
                            <a:fillRect/>
                          </a:stretch>
                        </pic:blipFill>
                        <pic:spPr>
                          <a:xfrm>
                            <a:off x="0" y="0"/>
                            <a:ext cx="540000" cy="540000"/>
                          </a:xfrm>
                          <a:prstGeom prst="rect"/>
                        </pic:spPr>
                      </pic:pic>
                    </a:graphicData>
                  </a:graphic>
                </wp:inline>
              </w:drawing>
            </w:r>
          </w:p>
        </w:tc>
        <w:tc>
          <w:tcPr>
            <w:tcW w:type="dxa" w:w="1134"/>
          </w:tcPr>
          <w:p>
            <w:pPr>
              <w:jc w:val="center"/>
            </w:pPr>
            <w:r>
              <w:drawing>
                <wp:inline xmlns:a="http://schemas.openxmlformats.org/drawingml/2006/main" xmlns:pic="http://schemas.openxmlformats.org/drawingml/2006/picture">
                  <wp:extent cx="540000" cy="540000"/>
                  <wp:docPr id="9" name="Picture 9"/>
                  <wp:cNvGraphicFramePr>
                    <a:graphicFrameLocks noChangeAspect="1"/>
                  </wp:cNvGraphicFramePr>
                  <a:graphic>
                    <a:graphicData uri="http://schemas.openxmlformats.org/drawingml/2006/picture">
                      <pic:pic>
                        <pic:nvPicPr>
                          <pic:cNvPr id="0" name="GHS09.png"/>
                          <pic:cNvPicPr/>
                        </pic:nvPicPr>
                        <pic:blipFill>
                          <a:blip r:embed="rId17"/>
                          <a:stretch>
                            <a:fillRect/>
                          </a:stretch>
                        </pic:blipFill>
                        <pic:spPr>
                          <a:xfrm>
                            <a:off x="0" y="0"/>
                            <a:ext cx="540000" cy="540000"/>
                          </a:xfrm>
                          <a:prstGeom prst="rect"/>
                        </pic:spPr>
                      </pic:pic>
                    </a:graphicData>
                  </a:graphic>
                </wp:inline>
              </w:drawing>
            </w:r>
          </w:p>
        </w:tc>
      </w:tr>
      <w:tr>
        <w:tc>
          <w:tcPr>
            <w:tcW w:type="dxa" w:w="1134"/>
          </w:tcPr>
          <w:p>
            <w:pPr>
              <w:spacing w:after="20"/>
              <w:jc w:val="center"/>
            </w:pPr>
            <w:r>
              <w:rPr>
                <w:b w:val="0"/>
                <w:i w:val="0"/>
                <w:sz w:val="14"/>
              </w:rPr>
              <w:t>Serious Harm to Health</w:t>
            </w:r>
          </w:p>
        </w:tc>
        <w:tc>
          <w:tcPr>
            <w:tcW w:type="dxa" w:w="1134"/>
          </w:tcPr>
          <w:p>
            <w:pPr>
              <w:spacing w:after="20"/>
              <w:jc w:val="center"/>
            </w:pPr>
            <w:r>
              <w:rPr>
                <w:b w:val="0"/>
                <w:i w:val="0"/>
                <w:sz w:val="14"/>
              </w:rPr>
              <w:t>Toxic</w:t>
            </w:r>
          </w:p>
        </w:tc>
        <w:tc>
          <w:tcPr>
            <w:tcW w:type="dxa" w:w="1134"/>
          </w:tcPr>
          <w:p>
            <w:pPr>
              <w:spacing w:after="20"/>
              <w:jc w:val="center"/>
            </w:pPr>
            <w:r>
              <w:rPr>
                <w:b w:val="0"/>
                <w:i w:val="0"/>
                <w:sz w:val="14"/>
              </w:rPr>
              <w:t>Corrosive</w:t>
            </w:r>
          </w:p>
        </w:tc>
        <w:tc>
          <w:tcPr>
            <w:tcW w:type="dxa" w:w="1134"/>
          </w:tcPr>
          <w:p>
            <w:pPr>
              <w:spacing w:after="20"/>
              <w:jc w:val="center"/>
            </w:pPr>
            <w:r>
              <w:rPr>
                <w:b w:val="0"/>
                <w:i w:val="0"/>
                <w:sz w:val="14"/>
              </w:rPr>
              <w:t>Irritant</w:t>
            </w:r>
          </w:p>
        </w:tc>
        <w:tc>
          <w:tcPr>
            <w:tcW w:type="dxa" w:w="1134"/>
          </w:tcPr>
          <w:p>
            <w:pPr>
              <w:spacing w:after="20"/>
              <w:jc w:val="center"/>
            </w:pPr>
            <w:r>
              <w:rPr>
                <w:b w:val="0"/>
                <w:i w:val="0"/>
                <w:sz w:val="14"/>
              </w:rPr>
              <w:t>Flammable</w:t>
            </w:r>
          </w:p>
        </w:tc>
        <w:tc>
          <w:tcPr>
            <w:tcW w:type="dxa" w:w="1134"/>
          </w:tcPr>
          <w:p>
            <w:pPr>
              <w:spacing w:after="20"/>
              <w:jc w:val="center"/>
            </w:pPr>
            <w:r>
              <w:rPr>
                <w:b w:val="0"/>
                <w:i w:val="0"/>
                <w:sz w:val="14"/>
              </w:rPr>
              <w:t>Oxidiser</w:t>
            </w:r>
          </w:p>
        </w:tc>
        <w:tc>
          <w:tcPr>
            <w:tcW w:type="dxa" w:w="1134"/>
          </w:tcPr>
          <w:p>
            <w:pPr>
              <w:spacing w:after="20"/>
              <w:jc w:val="center"/>
            </w:pPr>
            <w:r>
              <w:rPr>
                <w:b w:val="0"/>
                <w:i w:val="0"/>
                <w:sz w:val="14"/>
              </w:rPr>
              <w:t>Explosive</w:t>
            </w:r>
          </w:p>
        </w:tc>
        <w:tc>
          <w:tcPr>
            <w:tcW w:type="dxa" w:w="1134"/>
          </w:tcPr>
          <w:p>
            <w:pPr>
              <w:spacing w:after="20"/>
              <w:jc w:val="center"/>
            </w:pPr>
            <w:r>
              <w:rPr>
                <w:b w:val="0"/>
                <w:i w:val="0"/>
                <w:sz w:val="14"/>
              </w:rPr>
              <w:t>Gas Under Pressure</w:t>
            </w:r>
          </w:p>
        </w:tc>
        <w:tc>
          <w:tcPr>
            <w:tcW w:type="dxa" w:w="1134"/>
          </w:tcPr>
          <w:p>
            <w:pPr>
              <w:spacing w:after="20"/>
              <w:jc w:val="center"/>
            </w:pPr>
            <w:r>
              <w:rPr>
                <w:b w:val="0"/>
                <w:i w:val="0"/>
                <w:sz w:val="14"/>
              </w:rPr>
              <w:t>Risk to Environment</w:t>
            </w:r>
          </w:p>
        </w:tc>
      </w:tr>
      <w:tr>
        <w:tc>
          <w:tcPr>
            <w:tcW w:type="dxa" w:w="1134"/>
          </w:tcPr>
          <w:p>
            <w:pPr>
              <w:spacing w:after="20"/>
              <w:jc w:val="center"/>
            </w:pPr>
            <w:r>
              <w:rPr>
                <w:b/>
                <w:i w:val="0"/>
              </w:rPr>
            </w:r>
          </w:p>
        </w:tc>
        <w:tc>
          <w:tcPr>
            <w:tcW w:type="dxa" w:w="1134"/>
          </w:tcPr>
          <w:p>
            <w:pPr>
              <w:spacing w:after="20"/>
              <w:jc w:val="center"/>
            </w:pPr>
            <w:r>
              <w:rPr>
                <w:b/>
                <w:i w:val="0"/>
              </w:rPr>
            </w:r>
          </w:p>
        </w:tc>
        <w:tc>
          <w:tcPr>
            <w:tcW w:type="dxa" w:w="1134"/>
          </w:tcPr>
          <w:p>
            <w:pPr>
              <w:spacing w:after="20"/>
              <w:jc w:val="center"/>
            </w:pPr>
            <w:r>
              <w:rPr>
                <w:b/>
                <w:i w:val="0"/>
              </w:rPr>
            </w:r>
          </w:p>
        </w:tc>
        <w:tc>
          <w:tcPr>
            <w:tcW w:type="dxa" w:w="1134"/>
          </w:tcPr>
          <w:p>
            <w:pPr>
              <w:spacing w:after="20"/>
              <w:jc w:val="center"/>
            </w:pPr>
            <w:r>
              <w:rPr>
                <w:b/>
                <w:i w:val="0"/>
              </w:rPr>
            </w:r>
          </w:p>
        </w:tc>
        <w:tc>
          <w:tcPr>
            <w:tcW w:type="dxa" w:w="1134"/>
          </w:tcPr>
          <w:p>
            <w:pPr>
              <w:spacing w:after="20"/>
              <w:jc w:val="center"/>
            </w:pPr>
            <w:r>
              <w:rPr>
                <w:b/>
                <w:i w:val="0"/>
              </w:rPr>
              <w:t>X</w:t>
            </w:r>
          </w:p>
        </w:tc>
        <w:tc>
          <w:tcPr>
            <w:tcW w:type="dxa" w:w="1134"/>
          </w:tcPr>
          <w:p>
            <w:pPr>
              <w:spacing w:after="20"/>
              <w:jc w:val="center"/>
            </w:pPr>
            <w:r>
              <w:rPr>
                <w:b/>
                <w:i w:val="0"/>
              </w:rPr>
            </w:r>
          </w:p>
        </w:tc>
        <w:tc>
          <w:tcPr>
            <w:tcW w:type="dxa" w:w="1134"/>
          </w:tcPr>
          <w:p>
            <w:pPr>
              <w:spacing w:after="20"/>
              <w:jc w:val="center"/>
            </w:pPr>
            <w:r>
              <w:rPr>
                <w:b/>
                <w:i w:val="0"/>
              </w:rPr>
            </w:r>
          </w:p>
        </w:tc>
        <w:tc>
          <w:tcPr>
            <w:tcW w:type="dxa" w:w="1134"/>
          </w:tcPr>
          <w:p>
            <w:pPr>
              <w:spacing w:after="20"/>
              <w:jc w:val="center"/>
            </w:pPr>
            <w:r>
              <w:rPr>
                <w:b/>
                <w:i w:val="0"/>
              </w:rPr>
            </w:r>
          </w:p>
        </w:tc>
        <w:tc>
          <w:tcPr>
            <w:tcW w:type="dxa" w:w="1134"/>
          </w:tcPr>
          <w:p>
            <w:pPr>
              <w:spacing w:after="20"/>
              <w:jc w:val="center"/>
            </w:pPr>
            <w:r>
              <w:rPr>
                <w:b/>
                <w:i w:val="0"/>
              </w:rPr>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2551"/>
        <w:gridCol w:w="7654"/>
      </w:tblGrid>
      <w:tr>
        <w:tc>
          <w:tcPr>
            <w:tcW w:type="dxa" w:w="2551"/>
          </w:tcPr>
          <w:p>
            <w:pPr>
              <w:spacing w:after="20"/>
            </w:pPr>
            <w:r>
              <w:rPr>
                <w:b/>
                <w:i w:val="0"/>
              </w:rPr>
              <w:t>Signal word</w:t>
            </w:r>
          </w:p>
        </w:tc>
        <w:tc>
          <w:tcPr>
            <w:tcW w:type="dxa" w:w="7654"/>
          </w:tcPr>
          <w:p>
            <w:pPr>
              <w:spacing w:after="20"/>
            </w:pPr>
            <w:r>
              <w:rPr>
                <w:b/>
                <w:i w:val="0"/>
              </w:rPr>
              <w:t>DANGER</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Hazard Type</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val="0"/>
                <w:i w:val="0"/>
              </w:rPr>
              <w:t xml:space="preserve">☐ Gas     ☒ Vapour     ☒ Mist     ☐ Fume     ☐ Dust     ☒ Liquid     ☐ Solid     ☐ Other: </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Hazard Statements</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val="0"/>
                <w:i w:val="0"/>
              </w:rPr>
              <w:t>H225 – Highly Flammable liquid and vapor</w:t>
            </w:r>
          </w:p>
          <w:p>
            <w:pPr>
              <w:spacing w:after="20"/>
            </w:pPr>
            <w:r>
              <w:rPr>
                <w:b w:val="0"/>
                <w:i w:val="0"/>
              </w:rPr>
              <w:t>Classification source: Regulation (EC) No 1272/2008 of the European Parliament and of the Council</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Precautionary Statements</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val="0"/>
                <w:i w:val="0"/>
              </w:rPr>
              <w:t>P210 – Keep away from heat, hot surface, sparks, open flames and other ignition sources. No smoking.</w:t>
            </w:r>
          </w:p>
          <w:p>
            <w:pPr>
              <w:spacing w:after="20"/>
            </w:pPr>
            <w:r>
              <w:rPr>
                <w:b w:val="0"/>
                <w:i w:val="0"/>
              </w:rPr>
              <w:t>P233 – Keep container tightly closed.</w:t>
            </w:r>
          </w:p>
          <w:p>
            <w:pPr>
              <w:spacing w:after="20"/>
            </w:pPr>
            <w:r>
              <w:rPr>
                <w:b w:val="0"/>
                <w:i w:val="0"/>
              </w:rPr>
              <w:t>P240 – Ground/bond container and receiving equipment.</w:t>
            </w:r>
          </w:p>
          <w:p>
            <w:pPr>
              <w:spacing w:after="20"/>
            </w:pPr>
            <w:r>
              <w:rPr>
                <w:b w:val="0"/>
                <w:i w:val="0"/>
              </w:rPr>
              <w:t>P241 – Use explosion-proof [electrical/ventilating/lighting/.../] equipment.</w:t>
            </w:r>
          </w:p>
          <w:p>
            <w:pPr>
              <w:spacing w:after="20"/>
            </w:pPr>
            <w:r>
              <w:rPr>
                <w:b w:val="0"/>
                <w:i w:val="0"/>
              </w:rPr>
              <w:t>P242 – Use only non-sparking tools.</w:t>
            </w:r>
          </w:p>
          <w:p>
            <w:pPr>
              <w:spacing w:after="20"/>
            </w:pPr>
            <w:r>
              <w:rPr>
                <w:b w:val="0"/>
                <w:i w:val="0"/>
              </w:rPr>
              <w:t>P243 – Take precautionary measures against static discharge.</w:t>
            </w:r>
          </w:p>
          <w:p>
            <w:pPr>
              <w:spacing w:after="20"/>
            </w:pPr>
            <w:r>
              <w:rPr>
                <w:b w:val="0"/>
                <w:i w:val="0"/>
              </w:rPr>
              <w:t>P280 – Wear protective gloves/protective clothing/eye protection/face protection/hearing protection/...</w:t>
            </w:r>
          </w:p>
          <w:p>
            <w:pPr>
              <w:spacing w:after="20"/>
            </w:pPr>
            <w:r>
              <w:rPr>
                <w:b w:val="0"/>
                <w:i w:val="0"/>
              </w:rPr>
              <w:t>P303+P361+P353 – IF ON SKIN (or hair): Take off Immediately all contaminated clothing. Rinse SKIN with water [or shower].</w:t>
            </w:r>
          </w:p>
          <w:p>
            <w:pPr>
              <w:spacing w:after="20"/>
            </w:pPr>
            <w:r>
              <w:rPr>
                <w:b w:val="0"/>
                <w:i w:val="0"/>
              </w:rPr>
              <w:t>P370+P378 – In case of fire: Use ... to extinguish.</w:t>
            </w:r>
          </w:p>
          <w:p>
            <w:pPr>
              <w:spacing w:after="20"/>
            </w:pPr>
            <w:r>
              <w:rPr>
                <w:b w:val="0"/>
                <w:i w:val="0"/>
              </w:rPr>
              <w:t>P403+P235 – Store in a well-ventilated place. Keep cool.</w:t>
            </w:r>
          </w:p>
          <w:p>
            <w:pPr>
              <w:spacing w:after="20"/>
            </w:pPr>
            <w:r>
              <w:rPr>
                <w:b w:val="0"/>
                <w:i w:val="0"/>
              </w:rPr>
              <w:t>P501 – Dispose of contents/container to ...</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Main Route of Exposure</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val="0"/>
                <w:i w:val="0"/>
              </w:rPr>
              <w:t>☒ Inhalation     ☐ Skin     ☐ Eyes     ☐ Ingestion</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Control Parameters:</w:t>
            </w:r>
            <w:r>
              <w:rPr>
                <w:b/>
                <w:i/>
              </w:rPr>
              <w:t xml:space="preserve"> Exposure Limits and Monitoring</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val="0"/>
                <w:i w:val="0"/>
              </w:rPr>
              <w:t>• ACGIH TLV: 15 min Short Term Exposure Limit (STEL): 1000 ppm. (Hazardous Substances Data Bank (HSDB))</w:t>
            </w:r>
          </w:p>
          <w:p>
            <w:pPr>
              <w:spacing w:after="20"/>
            </w:pPr>
            <w:r>
              <w:rPr>
                <w:b w:val="0"/>
                <w:i w:val="0"/>
              </w:rPr>
              <w:t>• OEL: MAK (Maximale Arbeitsplatz Konzentration): 380 mg/m³ (ILO-WHO International Chemical Safety Cards (ICSCs))</w:t>
            </w:r>
          </w:p>
          <w:p>
            <w:pPr>
              <w:spacing w:after="20"/>
            </w:pPr>
            <w:r>
              <w:rPr>
                <w:b w:val="0"/>
                <w:i w:val="0"/>
              </w:rPr>
              <w:t>• NIOSH REL: REL-TWA (Time Weighted Average): 1000 ppm (1900 mg/m³) (Occupational Safety and Health Administration (OSHA))</w:t>
            </w:r>
          </w:p>
          <w:p>
            <w:pPr>
              <w:spacing w:after="20"/>
            </w:pPr>
            <w:r>
              <w:rPr>
                <w:b w:val="0"/>
                <w:i w:val="0"/>
              </w:rPr>
              <w:t>• OSHA PEL: 1000.0 [ppm] (Haz-Map, Information on Hazardous Chemicals and Occupational Diseases)</w:t>
            </w:r>
          </w:p>
          <w:p>
            <w:pPr>
              <w:spacing w:after="20"/>
            </w:pPr>
            <w:r>
              <w:rPr>
                <w:b w:val="0"/>
                <w:i w:val="0"/>
              </w:rPr>
              <w:t>• IDLH: 3300 ppm [Based on 10% of the lower explosive limit for safety considerations even though the relevant toxicological data indicated that irreversible health effects or impairment of escape existed only at higher concentrations.] (Hazardous Substances Data Bank (HSDB))</w:t>
            </w:r>
          </w:p>
          <w:p>
            <w:pPr>
              <w:spacing w:after="20"/>
            </w:pPr>
            <w:r>
              <w:rPr>
                <w:b w:val="0"/>
                <w:i w:val="0"/>
              </w:rPr>
              <w:t>• Lower explosive limit: 3.3 % (NTP, 1992)</w:t>
            </w:r>
          </w:p>
          <w:p>
            <w:pPr>
              <w:spacing w:after="20"/>
            </w:pPr>
            <w:r>
              <w:rPr>
                <w:b w:val="0"/>
                <w:i w:val="0"/>
              </w:rPr>
              <w:t>• Upper explosive limit: 19 % (NTP, 1992)</w:t>
            </w:r>
          </w:p>
          <w:p>
            <w:pPr>
              <w:spacing w:after="20"/>
            </w:pPr>
            <w:r>
              <w:rPr>
                <w:b w:val="0"/>
                <w:i w:val="0"/>
              </w:rPr>
              <w:t>Monitoring: Work in a fume cupboard keeps exposure well below the limits above; no personal air monitoring is required for small-scale laboratory use. Check the fume cupboard airflow indicator before use.</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Control Measures:</w:t>
            </w:r>
            <w:r>
              <w:rPr>
                <w:b/>
                <w:i/>
              </w:rPr>
              <w:t xml:space="preserve"> Note engineering, ventilation and other requirements needed</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i w:val="0"/>
              </w:rPr>
              <w:t>Engineering Measures</w:t>
            </w:r>
          </w:p>
          <w:p>
            <w:pPr>
              <w:spacing w:after="20"/>
            </w:pPr>
            <w:r>
              <w:rPr>
                <w:b w:val="0"/>
                <w:i w:val="0"/>
              </w:rPr>
              <w:t>• Handle in a fume cupboard (local exhaust ventilation, EN 14175); keep the sash as low as possible.</w:t>
            </w:r>
          </w:p>
          <w:p>
            <w:pPr>
              <w:spacing w:after="20"/>
            </w:pPr>
            <w:r>
              <w:rPr>
                <w:b w:val="0"/>
                <w:i w:val="0"/>
              </w:rPr>
              <w:t>• Keep away from heat, sparks and open flames; no ignition sources (e.g. Bunsen burners) nearby; keep container closed when not in use.</w:t>
            </w:r>
          </w:p>
          <w:p>
            <w:pPr>
              <w:spacing w:after="20"/>
            </w:pPr>
            <w:r>
              <w:rPr>
                <w:b w:val="0"/>
                <w:i w:val="0"/>
              </w:rPr>
              <w:t>• ICSC advice: Use ventilation, local exhaust or breathing protection.</w:t>
            </w:r>
          </w:p>
          <w:p>
            <w:pPr>
              <w:spacing w:after="20"/>
            </w:pPr>
            <w:r>
              <w:rPr>
                <w:b w:val="0"/>
                <w:i w:val="0"/>
              </w:rPr>
              <w:t>• ICSC advice: NO open flames, NO sparks and NO smoking. Closed system, ventilation, explosion-proof electrical equipment and lighting. Do NOT use compressed air for filling, discharging, or handling. NO contact with incompatible materials: See Chemical Dangers</w:t>
            </w:r>
          </w:p>
          <w:p>
            <w:pPr>
              <w:spacing w:after="20"/>
            </w:pPr>
            <w:r>
              <w:rPr>
                <w:b/>
                <w:i w:val="0"/>
              </w:rPr>
              <w:t>Hygiene Measures</w:t>
            </w:r>
          </w:p>
          <w:p>
            <w:pPr>
              <w:spacing w:after="20"/>
            </w:pPr>
            <w:r>
              <w:rPr>
                <w:b w:val="0"/>
                <w:i w:val="0"/>
              </w:rPr>
              <w:t>• Wash hands thoroughly after handling (P264).</w:t>
            </w:r>
          </w:p>
          <w:p>
            <w:pPr>
              <w:spacing w:after="20"/>
            </w:pPr>
            <w:r>
              <w:rPr>
                <w:b w:val="0"/>
                <w:i w:val="0"/>
              </w:rPr>
              <w:t>• Do not eat, drink or smoke in the laboratory (P270).</w:t>
            </w:r>
          </w:p>
          <w:p>
            <w:pPr>
              <w:spacing w:after="20"/>
            </w:pPr>
            <w:r>
              <w:rPr>
                <w:b w:val="0"/>
                <w:i w:val="0"/>
              </w:rPr>
              <w:t>• Clean the work area and equipment after use; clean up spills immediately.</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Personal Protective Equipment</w:t>
            </w:r>
            <w:r>
              <w:rPr>
                <w:b/>
                <w:i/>
              </w:rPr>
              <w:t xml:space="preserve"> (state type and standard)</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680"/>
        <w:gridCol w:w="3005"/>
        <w:gridCol w:w="2551"/>
        <w:gridCol w:w="3969"/>
      </w:tblGrid>
      <w:tr>
        <w:tc>
          <w:tcPr>
            <w:tcW w:type="dxa" w:w="680"/>
          </w:tcPr>
          <w:p>
            <w:pPr>
              <w:spacing w:after="20"/>
            </w:pPr>
            <w:r>
              <w:rPr>
                <w:b/>
                <w:i w:val="0"/>
              </w:rPr>
            </w:r>
          </w:p>
        </w:tc>
        <w:tc>
          <w:tcPr>
            <w:tcW w:type="dxa" w:w="3005"/>
          </w:tcPr>
          <w:p>
            <w:pPr>
              <w:spacing w:after="20"/>
            </w:pPr>
            <w:r>
              <w:rPr>
                <w:b/>
                <w:i w:val="0"/>
              </w:rPr>
              <w:t>Type</w:t>
            </w:r>
          </w:p>
        </w:tc>
        <w:tc>
          <w:tcPr>
            <w:tcW w:type="dxa" w:w="2551"/>
          </w:tcPr>
          <w:p>
            <w:pPr>
              <w:spacing w:after="20"/>
            </w:pPr>
            <w:r>
              <w:rPr>
                <w:b/>
                <w:i w:val="0"/>
              </w:rPr>
              <w:t>Standard</w:t>
            </w:r>
          </w:p>
        </w:tc>
        <w:tc>
          <w:tcPr>
            <w:tcW w:type="dxa" w:w="3969"/>
          </w:tcPr>
          <w:p>
            <w:pPr>
              <w:spacing w:after="20"/>
            </w:pPr>
            <w:r>
              <w:rPr>
                <w:b/>
                <w:i w:val="0"/>
              </w:rPr>
              <w:t>Notes</w:t>
            </w:r>
          </w:p>
        </w:tc>
      </w:tr>
      <w:tr>
        <w:tc>
          <w:tcPr>
            <w:tcW w:type="dxa" w:w="680"/>
          </w:tcPr>
          <w:p>
            <w:pPr>
              <w:spacing w:after="20"/>
              <w:jc w:val="center"/>
            </w:pPr>
            <w:r>
              <w:rPr>
                <w:b w:val="0"/>
                <w:i w:val="0"/>
                <w:sz w:val="24"/>
              </w:rPr>
              <w:t>☒</w:t>
            </w:r>
          </w:p>
        </w:tc>
        <w:tc>
          <w:tcPr>
            <w:tcW w:type="dxa" w:w="3005"/>
          </w:tcPr>
          <w:p>
            <w:pPr>
              <w:spacing w:after="20"/>
            </w:pPr>
            <w:r>
              <w:rPr>
                <w:b/>
                <w:i w:val="0"/>
              </w:rPr>
              <w:t>Laboratory coat</w:t>
            </w:r>
          </w:p>
        </w:tc>
        <w:tc>
          <w:tcPr>
            <w:tcW w:type="dxa" w:w="2551"/>
          </w:tcPr>
          <w:p>
            <w:pPr>
              <w:spacing w:after="20"/>
            </w:pPr>
            <w:r>
              <w:rPr>
                <w:b w:val="0"/>
                <w:i w:val="0"/>
              </w:rPr>
              <w:t>EN ISO 13688 (EN 13034 Type 6 for liquid chemicals)</w:t>
            </w:r>
          </w:p>
        </w:tc>
        <w:tc>
          <w:tcPr>
            <w:tcW w:type="dxa" w:w="3969"/>
          </w:tcPr>
          <w:p>
            <w:pPr>
              <w:spacing w:after="20"/>
            </w:pPr>
            <w:r>
              <w:rPr>
                <w:b w:val="0"/>
                <w:i w:val="0"/>
              </w:rPr>
              <w:t>Fully buttoned, long sleeves.</w:t>
            </w:r>
          </w:p>
        </w:tc>
      </w:tr>
      <w:tr>
        <w:tc>
          <w:tcPr>
            <w:tcW w:type="dxa" w:w="680"/>
          </w:tcPr>
          <w:p>
            <w:pPr>
              <w:spacing w:after="20"/>
              <w:jc w:val="center"/>
            </w:pPr>
            <w:r>
              <w:rPr>
                <w:b w:val="0"/>
                <w:i w:val="0"/>
                <w:sz w:val="24"/>
              </w:rPr>
              <w:t>☐</w:t>
            </w:r>
          </w:p>
        </w:tc>
        <w:tc>
          <w:tcPr>
            <w:tcW w:type="dxa" w:w="3005"/>
          </w:tcPr>
          <w:p>
            <w:pPr>
              <w:spacing w:after="20"/>
            </w:pPr>
            <w:r>
              <w:rPr>
                <w:b w:val="0"/>
                <w:i w:val="0"/>
              </w:rPr>
              <w:t>Safety glasses with side shields</w:t>
            </w:r>
          </w:p>
        </w:tc>
        <w:tc>
          <w:tcPr>
            <w:tcW w:type="dxa" w:w="2551"/>
          </w:tcPr>
          <w:p>
            <w:pPr>
              <w:spacing w:after="20"/>
            </w:pPr>
            <w:r>
              <w:rPr>
                <w:b w:val="0"/>
                <w:i w:val="0"/>
              </w:rPr>
              <w:t>EN 166</w:t>
            </w:r>
          </w:p>
        </w:tc>
        <w:tc>
          <w:tcPr>
            <w:tcW w:type="dxa" w:w="3969"/>
          </w:tcPr>
          <w:p>
            <w:pPr>
              <w:spacing w:after="20"/>
            </w:pPr>
            <w:r>
              <w:rPr>
                <w:b w:val="0"/>
                <w:i w:val="0"/>
              </w:rPr>
              <w:t>Minimum eye protection in the laboratory.</w:t>
            </w:r>
          </w:p>
        </w:tc>
      </w:tr>
      <w:tr>
        <w:tc>
          <w:tcPr>
            <w:tcW w:type="dxa" w:w="680"/>
          </w:tcPr>
          <w:p>
            <w:pPr>
              <w:spacing w:after="20"/>
              <w:jc w:val="center"/>
            </w:pPr>
            <w:r>
              <w:rPr>
                <w:b w:val="0"/>
                <w:i w:val="0"/>
                <w:sz w:val="24"/>
              </w:rPr>
              <w:t>☒</w:t>
            </w:r>
          </w:p>
        </w:tc>
        <w:tc>
          <w:tcPr>
            <w:tcW w:type="dxa" w:w="3005"/>
          </w:tcPr>
          <w:p>
            <w:pPr>
              <w:spacing w:after="20"/>
            </w:pPr>
            <w:r>
              <w:rPr>
                <w:b/>
                <w:i w:val="0"/>
              </w:rPr>
              <w:t>Chemical splash goggles</w:t>
            </w:r>
          </w:p>
        </w:tc>
        <w:tc>
          <w:tcPr>
            <w:tcW w:type="dxa" w:w="2551"/>
          </w:tcPr>
          <w:p>
            <w:pPr>
              <w:spacing w:after="20"/>
            </w:pPr>
            <w:r>
              <w:rPr>
                <w:b w:val="0"/>
                <w:i w:val="0"/>
              </w:rPr>
              <w:t>EN 166 (marking 3)</w:t>
            </w:r>
          </w:p>
        </w:tc>
        <w:tc>
          <w:tcPr>
            <w:tcW w:type="dxa" w:w="3969"/>
          </w:tcPr>
          <w:p>
            <w:pPr>
              <w:spacing w:after="20"/>
            </w:pPr>
            <w:r>
              <w:rPr>
                <w:b w:val="0"/>
                <w:i w:val="0"/>
              </w:rPr>
              <w:t>Required when there is a splash risk to the eyes.</w:t>
            </w:r>
          </w:p>
        </w:tc>
      </w:tr>
      <w:tr>
        <w:tc>
          <w:tcPr>
            <w:tcW w:type="dxa" w:w="680"/>
          </w:tcPr>
          <w:p>
            <w:pPr>
              <w:spacing w:after="20"/>
              <w:jc w:val="center"/>
            </w:pPr>
            <w:r>
              <w:rPr>
                <w:b w:val="0"/>
                <w:i w:val="0"/>
                <w:sz w:val="24"/>
              </w:rPr>
              <w:t>☐</w:t>
            </w:r>
          </w:p>
        </w:tc>
        <w:tc>
          <w:tcPr>
            <w:tcW w:type="dxa" w:w="3005"/>
          </w:tcPr>
          <w:p>
            <w:pPr>
              <w:spacing w:after="20"/>
            </w:pPr>
            <w:r>
              <w:rPr>
                <w:b w:val="0"/>
                <w:i w:val="0"/>
              </w:rPr>
              <w:t>Face shield / visor</w:t>
            </w:r>
          </w:p>
        </w:tc>
        <w:tc>
          <w:tcPr>
            <w:tcW w:type="dxa" w:w="2551"/>
          </w:tcPr>
          <w:p>
            <w:pPr>
              <w:spacing w:after="20"/>
            </w:pPr>
            <w:r>
              <w:rPr>
                <w:b w:val="0"/>
                <w:i w:val="0"/>
              </w:rPr>
              <w:t>EN 166</w:t>
            </w:r>
          </w:p>
        </w:tc>
        <w:tc>
          <w:tcPr>
            <w:tcW w:type="dxa" w:w="3969"/>
          </w:tcPr>
          <w:p>
            <w:pPr>
              <w:spacing w:after="20"/>
            </w:pPr>
            <w:r>
              <w:rPr>
                <w:b w:val="0"/>
                <w:i w:val="0"/>
              </w:rPr>
              <w:t>Wear over goggles when handling corrosive liquids.</w:t>
            </w:r>
          </w:p>
        </w:tc>
      </w:tr>
      <w:tr>
        <w:tc>
          <w:tcPr>
            <w:tcW w:type="dxa" w:w="680"/>
          </w:tcPr>
          <w:p>
            <w:pPr>
              <w:spacing w:after="20"/>
              <w:jc w:val="center"/>
            </w:pPr>
            <w:r>
              <w:rPr>
                <w:b w:val="0"/>
                <w:i w:val="0"/>
                <w:sz w:val="24"/>
              </w:rPr>
              <w:t>☒</w:t>
            </w:r>
          </w:p>
        </w:tc>
        <w:tc>
          <w:tcPr>
            <w:tcW w:type="dxa" w:w="3005"/>
          </w:tcPr>
          <w:p>
            <w:pPr>
              <w:spacing w:after="20"/>
            </w:pPr>
            <w:r>
              <w:rPr>
                <w:b/>
                <w:i w:val="0"/>
              </w:rPr>
              <w:t>Chemical-resistant gloves</w:t>
            </w:r>
          </w:p>
        </w:tc>
        <w:tc>
          <w:tcPr>
            <w:tcW w:type="dxa" w:w="2551"/>
          </w:tcPr>
          <w:p>
            <w:pPr>
              <w:spacing w:after="20"/>
            </w:pPr>
            <w:r>
              <w:rPr>
                <w:b w:val="0"/>
                <w:i w:val="0"/>
              </w:rPr>
              <w:t>EN ISO 374-1</w:t>
            </w:r>
          </w:p>
        </w:tc>
        <w:tc>
          <w:tcPr>
            <w:tcW w:type="dxa" w:w="3969"/>
          </w:tcPr>
          <w:p>
            <w:pPr>
              <w:spacing w:after="20"/>
            </w:pPr>
            <w:r>
              <w:rPr>
                <w:b w:val="0"/>
                <w:i w:val="0"/>
              </w:rPr>
              <w:t>Nitrile is a common choice; check breakthrough time and material in the supplier SDS.</w:t>
            </w:r>
          </w:p>
        </w:tc>
      </w:tr>
      <w:tr>
        <w:tc>
          <w:tcPr>
            <w:tcW w:type="dxa" w:w="680"/>
          </w:tcPr>
          <w:p>
            <w:pPr>
              <w:spacing w:after="20"/>
              <w:jc w:val="center"/>
            </w:pPr>
            <w:r>
              <w:rPr>
                <w:b w:val="0"/>
                <w:i w:val="0"/>
                <w:sz w:val="24"/>
              </w:rPr>
              <w:t>☐</w:t>
            </w:r>
          </w:p>
        </w:tc>
        <w:tc>
          <w:tcPr>
            <w:tcW w:type="dxa" w:w="3005"/>
          </w:tcPr>
          <w:p>
            <w:pPr>
              <w:spacing w:after="20"/>
            </w:pPr>
            <w:r>
              <w:rPr>
                <w:b w:val="0"/>
                <w:i w:val="0"/>
              </w:rPr>
              <w:t>Dust mask (FFP2)</w:t>
            </w:r>
          </w:p>
        </w:tc>
        <w:tc>
          <w:tcPr>
            <w:tcW w:type="dxa" w:w="2551"/>
          </w:tcPr>
          <w:p>
            <w:pPr>
              <w:spacing w:after="20"/>
            </w:pPr>
            <w:r>
              <w:rPr>
                <w:b w:val="0"/>
                <w:i w:val="0"/>
              </w:rPr>
              <w:t>EN 149</w:t>
            </w:r>
          </w:p>
        </w:tc>
        <w:tc>
          <w:tcPr>
            <w:tcW w:type="dxa" w:w="3969"/>
          </w:tcPr>
          <w:p>
            <w:pPr>
              <w:spacing w:after="20"/>
            </w:pPr>
            <w:r>
              <w:rPr>
                <w:b w:val="0"/>
                <w:i w:val="0"/>
              </w:rPr>
              <w:t>Only if dust cannot be controlled with extraction.</w:t>
            </w:r>
          </w:p>
        </w:tc>
      </w:tr>
      <w:tr>
        <w:tc>
          <w:tcPr>
            <w:tcW w:type="dxa" w:w="680"/>
          </w:tcPr>
          <w:p>
            <w:pPr>
              <w:spacing w:after="20"/>
              <w:jc w:val="center"/>
            </w:pPr>
            <w:r>
              <w:rPr>
                <w:b w:val="0"/>
                <w:i w:val="0"/>
                <w:sz w:val="24"/>
              </w:rPr>
              <w:t>☐</w:t>
            </w:r>
          </w:p>
        </w:tc>
        <w:tc>
          <w:tcPr>
            <w:tcW w:type="dxa" w:w="3005"/>
          </w:tcPr>
          <w:p>
            <w:pPr>
              <w:spacing w:after="20"/>
            </w:pPr>
            <w:r>
              <w:rPr>
                <w:b w:val="0"/>
                <w:i w:val="0"/>
              </w:rPr>
              <w:t>Respirator with gas/vapour filter</w:t>
            </w:r>
          </w:p>
        </w:tc>
        <w:tc>
          <w:tcPr>
            <w:tcW w:type="dxa" w:w="2551"/>
          </w:tcPr>
          <w:p>
            <w:pPr>
              <w:spacing w:after="20"/>
            </w:pPr>
            <w:r>
              <w:rPr>
                <w:b w:val="0"/>
                <w:i w:val="0"/>
              </w:rPr>
              <w:t>EN 14387</w:t>
            </w:r>
          </w:p>
        </w:tc>
        <w:tc>
          <w:tcPr>
            <w:tcW w:type="dxa" w:w="3969"/>
          </w:tcPr>
          <w:p>
            <w:pPr>
              <w:spacing w:after="20"/>
            </w:pPr>
            <w:r>
              <w:rPr>
                <w:b w:val="0"/>
                <w:i w:val="0"/>
              </w:rPr>
              <w:t>Only if work outside a fume cupboard is unavoidable (e.g. spill clean-up).</w:t>
            </w:r>
          </w:p>
        </w:tc>
      </w:tr>
      <w:tr>
        <w:tc>
          <w:tcPr>
            <w:tcW w:type="dxa" w:w="680"/>
          </w:tcPr>
          <w:p>
            <w:pPr>
              <w:spacing w:after="20"/>
              <w:jc w:val="center"/>
            </w:pPr>
            <w:r>
              <w:rPr>
                <w:b w:val="0"/>
                <w:i w:val="0"/>
                <w:sz w:val="24"/>
              </w:rPr>
              <w:t>☒</w:t>
            </w:r>
          </w:p>
        </w:tc>
        <w:tc>
          <w:tcPr>
            <w:tcW w:type="dxa" w:w="3005"/>
          </w:tcPr>
          <w:p>
            <w:pPr>
              <w:spacing w:after="20"/>
            </w:pPr>
            <w:r>
              <w:rPr>
                <w:b/>
                <w:i w:val="0"/>
              </w:rPr>
              <w:t>Closed footwear</w:t>
            </w:r>
          </w:p>
        </w:tc>
        <w:tc>
          <w:tcPr>
            <w:tcW w:type="dxa" w:w="2551"/>
          </w:tcPr>
          <w:p>
            <w:pPr>
              <w:spacing w:after="20"/>
            </w:pPr>
            <w:r>
              <w:rPr>
                <w:b w:val="0"/>
                <w:i w:val="0"/>
              </w:rPr>
              <w:t>-</w:t>
            </w:r>
          </w:p>
        </w:tc>
        <w:tc>
          <w:tcPr>
            <w:tcW w:type="dxa" w:w="3969"/>
          </w:tcPr>
          <w:p>
            <w:pPr>
              <w:spacing w:after="20"/>
            </w:pPr>
            <w:r>
              <w:rPr>
                <w:b w:val="0"/>
                <w:i w:val="0"/>
              </w:rPr>
              <w:t>Standard laboratory requirement.</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First Aid Measures</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701"/>
        <w:gridCol w:w="8504"/>
      </w:tblGrid>
      <w:tr>
        <w:tc>
          <w:tcPr>
            <w:tcW w:type="dxa" w:w="1701"/>
          </w:tcPr>
          <w:p>
            <w:pPr>
              <w:spacing w:after="20"/>
            </w:pPr>
            <w:r>
              <w:rPr>
                <w:b/>
                <w:i w:val="0"/>
              </w:rPr>
              <w:t>Inhalation</w:t>
            </w:r>
          </w:p>
        </w:tc>
        <w:tc>
          <w:tcPr>
            <w:tcW w:type="dxa" w:w="8504"/>
          </w:tcPr>
          <w:p>
            <w:pPr>
              <w:spacing w:after="20"/>
            </w:pPr>
            <w:r>
              <w:rPr>
                <w:b w:val="0"/>
                <w:i w:val="0"/>
              </w:rPr>
              <w:t>Fresh air, rest.</w:t>
            </w:r>
          </w:p>
        </w:tc>
      </w:tr>
      <w:tr>
        <w:tc>
          <w:tcPr>
            <w:tcW w:type="dxa" w:w="1701"/>
          </w:tcPr>
          <w:p>
            <w:pPr>
              <w:spacing w:after="20"/>
            </w:pPr>
            <w:r>
              <w:rPr>
                <w:b/>
                <w:i w:val="0"/>
              </w:rPr>
              <w:t>Skin</w:t>
            </w:r>
          </w:p>
        </w:tc>
        <w:tc>
          <w:tcPr>
            <w:tcW w:type="dxa" w:w="8504"/>
          </w:tcPr>
          <w:p>
            <w:pPr>
              <w:spacing w:after="20"/>
            </w:pPr>
            <w:r>
              <w:rPr>
                <w:b w:val="0"/>
                <w:i w:val="0"/>
              </w:rPr>
              <w:t>Remove contaminated clothes. Rinse skin with plenty of water or shower.</w:t>
            </w:r>
          </w:p>
        </w:tc>
      </w:tr>
      <w:tr>
        <w:tc>
          <w:tcPr>
            <w:tcW w:type="dxa" w:w="1701"/>
          </w:tcPr>
          <w:p>
            <w:pPr>
              <w:spacing w:after="20"/>
            </w:pPr>
            <w:r>
              <w:rPr>
                <w:b/>
                <w:i w:val="0"/>
              </w:rPr>
              <w:t>Eyes</w:t>
            </w:r>
          </w:p>
        </w:tc>
        <w:tc>
          <w:tcPr>
            <w:tcW w:type="dxa" w:w="8504"/>
          </w:tcPr>
          <w:p>
            <w:pPr>
              <w:spacing w:after="20"/>
            </w:pPr>
            <w:r>
              <w:rPr>
                <w:b w:val="0"/>
                <w:i w:val="0"/>
              </w:rPr>
              <w:t>First rinse with plenty of water for several minutes (remove contact lenses if easily possible), then refer for medical attention.</w:t>
            </w:r>
          </w:p>
        </w:tc>
      </w:tr>
      <w:tr>
        <w:tc>
          <w:tcPr>
            <w:tcW w:type="dxa" w:w="1701"/>
          </w:tcPr>
          <w:p>
            <w:pPr>
              <w:spacing w:after="20"/>
            </w:pPr>
            <w:r>
              <w:rPr>
                <w:b/>
                <w:i w:val="0"/>
              </w:rPr>
              <w:t>Ingestion</w:t>
            </w:r>
          </w:p>
        </w:tc>
        <w:tc>
          <w:tcPr>
            <w:tcW w:type="dxa" w:w="8504"/>
          </w:tcPr>
          <w:p>
            <w:pPr>
              <w:spacing w:after="20"/>
            </w:pPr>
            <w:r>
              <w:rPr>
                <w:b w:val="0"/>
                <w:i w:val="0"/>
              </w:rPr>
              <w:t>Rinse mouth. Give one or two glasses of water to drink. Refer immediately for medical attention.</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Fire Fighting</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val="0"/>
                <w:i w:val="0"/>
              </w:rPr>
              <w:t>Suitable extinguishing media: Use water spray, alcohol-resistant foam, dry chemical or carbon dioxide.</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Storage and Incompatibilities</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val="0"/>
                <w:i w:val="0"/>
              </w:rPr>
              <w:t>Fireproof. Separated from : see Chemical Dangers. Incompatible materials: Alkali metals, oxidizing agents, peroxides.</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Spillage / Accidental Release</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val="0"/>
                <w:i w:val="0"/>
              </w:rPr>
              <w:t>Remove all ignition sources. Ventilation. Do NOT wash away into sewer. Collect leaking and spilled liquid in covered containers as far as possible. Absorb remaining liquid in inert absorbent. Wash away remainder with plenty of water. Store and dispose of according to local regulations.</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Waste Disposal</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val="0"/>
                <w:i w:val="0"/>
              </w:rPr>
              <w:t>Dispose of as chemical waste according to local regulations and the laboratory waste procedure (P501). Do not pour down the drain unless permitted.</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Physical and Chemical Properties</w:t>
            </w:r>
            <w:r>
              <w:rPr>
                <w:b/>
                <w:i/>
              </w:rPr>
              <w:t xml:space="preserve"> (for reference)</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2551"/>
        <w:gridCol w:w="7654"/>
      </w:tblGrid>
      <w:tr>
        <w:tc>
          <w:tcPr>
            <w:tcW w:type="dxa" w:w="2551"/>
          </w:tcPr>
          <w:p>
            <w:pPr>
              <w:spacing w:after="20"/>
            </w:pPr>
            <w:r>
              <w:rPr>
                <w:b/>
                <w:i w:val="0"/>
              </w:rPr>
              <w:t>Molecular formula</w:t>
            </w:r>
          </w:p>
        </w:tc>
        <w:tc>
          <w:tcPr>
            <w:tcW w:type="dxa" w:w="7654"/>
          </w:tcPr>
          <w:p>
            <w:pPr>
              <w:spacing w:after="20"/>
            </w:pPr>
            <w:r>
              <w:rPr>
                <w:b w:val="0"/>
                <w:i w:val="0"/>
              </w:rPr>
              <w:t>C2H6O</w:t>
            </w:r>
          </w:p>
        </w:tc>
      </w:tr>
      <w:tr>
        <w:tc>
          <w:tcPr>
            <w:tcW w:type="dxa" w:w="2551"/>
          </w:tcPr>
          <w:p>
            <w:pPr>
              <w:spacing w:after="20"/>
            </w:pPr>
            <w:r>
              <w:rPr>
                <w:b/>
                <w:i w:val="0"/>
              </w:rPr>
              <w:t>Molar mass</w:t>
            </w:r>
          </w:p>
        </w:tc>
        <w:tc>
          <w:tcPr>
            <w:tcW w:type="dxa" w:w="7654"/>
          </w:tcPr>
          <w:p>
            <w:pPr>
              <w:spacing w:after="20"/>
            </w:pPr>
            <w:r>
              <w:rPr>
                <w:b w:val="0"/>
                <w:i w:val="0"/>
              </w:rPr>
              <w:t>46.07 g/mol</w:t>
            </w:r>
          </w:p>
        </w:tc>
      </w:tr>
      <w:tr>
        <w:tc>
          <w:tcPr>
            <w:tcW w:type="dxa" w:w="2551"/>
          </w:tcPr>
          <w:p>
            <w:pPr>
              <w:spacing w:after="20"/>
            </w:pPr>
            <w:r>
              <w:rPr>
                <w:b/>
                <w:i w:val="0"/>
              </w:rPr>
              <w:t>State at 20 °C</w:t>
            </w:r>
          </w:p>
        </w:tc>
        <w:tc>
          <w:tcPr>
            <w:tcW w:type="dxa" w:w="7654"/>
          </w:tcPr>
          <w:p>
            <w:pPr>
              <w:spacing w:after="20"/>
            </w:pPr>
            <w:r>
              <w:rPr>
                <w:b w:val="0"/>
                <w:i w:val="0"/>
              </w:rPr>
              <w:t>liquid</w:t>
            </w:r>
          </w:p>
        </w:tc>
      </w:tr>
      <w:tr>
        <w:tc>
          <w:tcPr>
            <w:tcW w:type="dxa" w:w="2551"/>
          </w:tcPr>
          <w:p>
            <w:pPr>
              <w:spacing w:after="20"/>
            </w:pPr>
            <w:r>
              <w:rPr>
                <w:b/>
                <w:i w:val="0"/>
              </w:rPr>
              <w:t>Melting point</w:t>
            </w:r>
          </w:p>
        </w:tc>
        <w:tc>
          <w:tcPr>
            <w:tcW w:type="dxa" w:w="7654"/>
          </w:tcPr>
          <w:p>
            <w:pPr>
              <w:spacing w:after="20"/>
            </w:pPr>
            <w:r>
              <w:rPr>
                <w:b w:val="0"/>
                <w:i w:val="0"/>
              </w:rPr>
              <w:t>-114.14 °C (Hazardous Substances Data Bank (HSDB))</w:t>
            </w:r>
          </w:p>
        </w:tc>
      </w:tr>
      <w:tr>
        <w:tc>
          <w:tcPr>
            <w:tcW w:type="dxa" w:w="2551"/>
          </w:tcPr>
          <w:p>
            <w:pPr>
              <w:spacing w:after="20"/>
            </w:pPr>
            <w:r>
              <w:rPr>
                <w:b/>
                <w:i w:val="0"/>
              </w:rPr>
              <w:t>Boiling point</w:t>
            </w:r>
          </w:p>
        </w:tc>
        <w:tc>
          <w:tcPr>
            <w:tcW w:type="dxa" w:w="7654"/>
          </w:tcPr>
          <w:p>
            <w:pPr>
              <w:spacing w:after="20"/>
            </w:pPr>
            <w:r>
              <w:rPr>
                <w:b w:val="0"/>
                <w:i w:val="0"/>
              </w:rPr>
              <w:t>78.24 °C (Hazardous Substances Data Bank (HSDB))</w:t>
            </w:r>
          </w:p>
        </w:tc>
      </w:tr>
      <w:tr>
        <w:tc>
          <w:tcPr>
            <w:tcW w:type="dxa" w:w="2551"/>
          </w:tcPr>
          <w:p>
            <w:pPr>
              <w:spacing w:after="20"/>
            </w:pPr>
            <w:r>
              <w:rPr>
                <w:b/>
                <w:i w:val="0"/>
              </w:rPr>
              <w:t>Density</w:t>
            </w:r>
          </w:p>
        </w:tc>
        <w:tc>
          <w:tcPr>
            <w:tcW w:type="dxa" w:w="7654"/>
          </w:tcPr>
          <w:p>
            <w:pPr>
              <w:spacing w:after="20"/>
            </w:pPr>
            <w:r>
              <w:rPr>
                <w:b w:val="0"/>
                <w:i w:val="0"/>
              </w:rPr>
              <w:t>0.7893 g/cu cm at 20 °C (Hazardous Substances Data Bank (HSDB))</w:t>
            </w:r>
          </w:p>
        </w:tc>
      </w:tr>
      <w:tr>
        <w:tc>
          <w:tcPr>
            <w:tcW w:type="dxa" w:w="2551"/>
          </w:tcPr>
          <w:p>
            <w:pPr>
              <w:spacing w:after="20"/>
            </w:pPr>
            <w:r>
              <w:rPr>
                <w:b/>
                <w:i w:val="0"/>
              </w:rPr>
              <w:t>Flash point</w:t>
            </w:r>
          </w:p>
        </w:tc>
        <w:tc>
          <w:tcPr>
            <w:tcW w:type="dxa" w:w="7654"/>
          </w:tcPr>
          <w:p>
            <w:pPr>
              <w:spacing w:after="20"/>
            </w:pPr>
            <w:r>
              <w:rPr>
                <w:b w:val="0"/>
                <w:i w:val="0"/>
              </w:rPr>
              <w:t>14.0 °C (57.2 °F) - closed cup (Hazardous Substances Data Bank (HSDB))</w:t>
            </w:r>
          </w:p>
        </w:tc>
      </w:tr>
      <w:tr>
        <w:tc>
          <w:tcPr>
            <w:tcW w:type="dxa" w:w="2551"/>
          </w:tcPr>
          <w:p>
            <w:pPr>
              <w:spacing w:after="20"/>
            </w:pPr>
            <w:r>
              <w:rPr>
                <w:b/>
                <w:i w:val="0"/>
              </w:rPr>
              <w:t>Solubility in water</w:t>
            </w:r>
          </w:p>
        </w:tc>
        <w:tc>
          <w:tcPr>
            <w:tcW w:type="dxa" w:w="7654"/>
          </w:tcPr>
          <w:p>
            <w:pPr>
              <w:spacing w:after="20"/>
            </w:pPr>
            <w:r>
              <w:rPr>
                <w:b w:val="0"/>
                <w:i w:val="0"/>
              </w:rPr>
              <w:t>In water, miscible /1X10+6 mg/L/ at 25 °C (Hazardous Substances Data Bank (HSDB))</w:t>
            </w:r>
          </w:p>
        </w:tc>
      </w:tr>
      <w:tr>
        <w:tc>
          <w:tcPr>
            <w:tcW w:type="dxa" w:w="2551"/>
          </w:tcPr>
          <w:p>
            <w:pPr>
              <w:spacing w:after="20"/>
            </w:pPr>
            <w:r>
              <w:rPr>
                <w:b/>
                <w:i w:val="0"/>
              </w:rPr>
              <w:t>Vapour pressure</w:t>
            </w:r>
          </w:p>
        </w:tc>
        <w:tc>
          <w:tcPr>
            <w:tcW w:type="dxa" w:w="7654"/>
          </w:tcPr>
          <w:p>
            <w:pPr>
              <w:spacing w:after="20"/>
            </w:pPr>
            <w:r>
              <w:rPr>
                <w:b w:val="0"/>
                <w:i w:val="0"/>
              </w:rPr>
              <w:t>VP: -73 °C at 1 Pa; -56 °C at 10 Pa; -34 °C at 100 Pa; -7 °C at 1 kPa (all extrapolated); 29.2 °C at 10 kPa; 78.0 °C at 100 kPa (Hazardous Substances Data Bank (HSDB))</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Risk Rating</w:t>
            </w:r>
            <w:r>
              <w:rPr>
                <w:b/>
                <w:i/>
              </w:rPr>
              <w:t xml:space="preserve"> (with the control measures above in place)</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3402"/>
        <w:gridCol w:w="3402"/>
        <w:gridCol w:w="3402"/>
      </w:tblGrid>
      <w:tr>
        <w:tc>
          <w:tcPr>
            <w:tcW w:type="dxa" w:w="3402"/>
          </w:tcPr>
          <w:p>
            <w:pPr>
              <w:spacing w:after="20"/>
            </w:pPr>
            <w:r>
              <w:rPr>
                <w:b/>
                <w:i w:val="0"/>
              </w:rPr>
              <w:t>Severity (1–3)</w:t>
            </w:r>
          </w:p>
        </w:tc>
        <w:tc>
          <w:tcPr>
            <w:tcW w:type="dxa" w:w="3402"/>
          </w:tcPr>
          <w:p>
            <w:pPr>
              <w:spacing w:after="20"/>
            </w:pPr>
            <w:r>
              <w:rPr>
                <w:b/>
                <w:i w:val="0"/>
              </w:rPr>
              <w:t>Likelihood (1–3)</w:t>
            </w:r>
          </w:p>
        </w:tc>
        <w:tc>
          <w:tcPr>
            <w:tcW w:type="dxa" w:w="3402"/>
          </w:tcPr>
          <w:p>
            <w:pPr>
              <w:spacing w:after="20"/>
            </w:pPr>
            <w:r>
              <w:rPr>
                <w:b/>
                <w:i w:val="0"/>
              </w:rPr>
              <w:t>Risk = Severity × Likelihood</w:t>
            </w:r>
          </w:p>
        </w:tc>
      </w:tr>
      <w:tr>
        <w:tc>
          <w:tcPr>
            <w:tcW w:type="dxa" w:w="3402"/>
          </w:tcPr>
          <w:p>
            <w:pPr>
              <w:spacing w:after="20"/>
            </w:pPr>
            <w:r>
              <w:rPr>
                <w:b w:val="0"/>
                <w:i w:val="0"/>
              </w:rPr>
              <w:t>2 – Medium</w:t>
            </w:r>
          </w:p>
        </w:tc>
        <w:tc>
          <w:tcPr>
            <w:tcW w:type="dxa" w:w="3402"/>
          </w:tcPr>
          <w:p>
            <w:pPr>
              <w:spacing w:after="20"/>
            </w:pPr>
            <w:r>
              <w:rPr>
                <w:b w:val="0"/>
                <w:i w:val="0"/>
              </w:rPr>
              <w:t>1 – Unlikely</w:t>
            </w:r>
          </w:p>
        </w:tc>
        <w:tc>
          <w:tcPr>
            <w:tcW w:type="dxa" w:w="3402"/>
          </w:tcPr>
          <w:p>
            <w:pPr>
              <w:spacing w:after="20"/>
            </w:pPr>
            <w:r>
              <w:rPr>
                <w:b/>
                <w:i w:val="0"/>
              </w:rPr>
              <w:t>2 – LOW</w:t>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Assessment</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2551"/>
        <w:gridCol w:w="2551"/>
        <w:gridCol w:w="2551"/>
        <w:gridCol w:w="2551"/>
      </w:tblGrid>
      <w:tr>
        <w:tc>
          <w:tcPr>
            <w:tcW w:type="dxa" w:w="2551"/>
          </w:tcPr>
          <w:p>
            <w:pPr>
              <w:spacing w:after="20"/>
            </w:pPr>
            <w:r>
              <w:rPr>
                <w:b/>
                <w:i w:val="0"/>
              </w:rPr>
              <w:t>Assessed by</w:t>
            </w:r>
          </w:p>
        </w:tc>
        <w:tc>
          <w:tcPr>
            <w:tcW w:type="dxa" w:w="2551"/>
          </w:tcPr>
          <w:p>
            <w:pPr>
              <w:spacing w:after="20"/>
            </w:pPr>
            <w:r>
              <w:rPr>
                <w:b/>
                <w:i w:val="0"/>
              </w:rPr>
              <w:t>Date</w:t>
            </w:r>
          </w:p>
        </w:tc>
        <w:tc>
          <w:tcPr>
            <w:tcW w:type="dxa" w:w="2551"/>
          </w:tcPr>
          <w:p>
            <w:pPr>
              <w:spacing w:after="20"/>
            </w:pPr>
            <w:r>
              <w:rPr>
                <w:b/>
                <w:i w:val="0"/>
              </w:rPr>
              <w:t>Review date</w:t>
            </w:r>
          </w:p>
        </w:tc>
        <w:tc>
          <w:tcPr>
            <w:tcW w:type="dxa" w:w="2551"/>
          </w:tcPr>
          <w:p>
            <w:pPr>
              <w:spacing w:after="20"/>
            </w:pPr>
            <w:r>
              <w:rPr>
                <w:b/>
                <w:i w:val="0"/>
              </w:rPr>
              <w:t>Signature</w:t>
            </w:r>
          </w:p>
        </w:tc>
      </w:tr>
      <w:tr>
        <w:tc>
          <w:tcPr>
            <w:tcW w:type="dxa" w:w="2551"/>
          </w:tcPr>
          <w:p>
            <w:pPr>
              <w:spacing w:after="20"/>
            </w:pPr>
            <w:r>
              <w:rPr>
                <w:b w:val="0"/>
                <w:i w:val="0"/>
              </w:rPr>
            </w:r>
          </w:p>
        </w:tc>
        <w:tc>
          <w:tcPr>
            <w:tcW w:type="dxa" w:w="2551"/>
          </w:tcPr>
          <w:p>
            <w:pPr>
              <w:spacing w:after="20"/>
            </w:pPr>
            <w:r>
              <w:rPr>
                <w:b w:val="0"/>
                <w:i w:val="0"/>
              </w:rPr>
              <w:t>28-10-2026</w:t>
            </w:r>
          </w:p>
        </w:tc>
        <w:tc>
          <w:tcPr>
            <w:tcW w:type="dxa" w:w="2551"/>
          </w:tcPr>
          <w:p>
            <w:pPr>
              <w:spacing w:after="20"/>
            </w:pPr>
            <w:r>
              <w:rPr>
                <w:b w:val="0"/>
                <w:i w:val="0"/>
              </w:rPr>
              <w:t>28-10-2027</w:t>
            </w:r>
          </w:p>
        </w:tc>
        <w:tc>
          <w:tcPr>
            <w:tcW w:type="dxa" w:w="2551"/>
          </w:tcPr>
          <w:p>
            <w:pPr>
              <w:spacing w:after="20"/>
            </w:pPr>
            <w:r>
              <w:rPr>
                <w:b w:val="0"/>
                <w:i w:val="0"/>
              </w:rPr>
            </w:r>
          </w:p>
        </w:tc>
      </w:tr>
    </w:tbl>
    <w:p>
      <w:pPr>
        <w:spacing w:after="0" w:before="0"/>
      </w:pPr>
      <w:r>
        <w:rPr>
          <w:sz w:val="4"/>
        </w:rPr>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shd w:val="clear" w:color="auto" w:fill="BDD7EE"/>
          </w:tcPr>
          <w:p>
            <w:pPr>
              <w:spacing w:after="20"/>
            </w:pPr>
            <w:r>
              <w:rPr>
                <w:b/>
                <w:i w:val="0"/>
              </w:rPr>
              <w:t>Sources</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10206" w:type="dxa"/>
      </w:tblPr>
      <w:tblGrid>
        <w:gridCol w:w="10205"/>
      </w:tblGrid>
      <w:tr>
        <w:tc>
          <w:tcPr>
            <w:tcW w:type="dxa" w:w="10205"/>
          </w:tcPr>
          <w:p>
            <w:pPr>
              <w:spacing w:after="20"/>
            </w:pPr>
            <w:r>
              <w:rPr>
                <w:b w:val="0"/>
                <w:i w:val="0"/>
                <w:color w:val="333333"/>
                <w:sz w:val="16"/>
              </w:rPr>
              <w:t>• PubChem CID 702 – https://pubchem.ncbi.nlm.nih.gov/compound/702</w:t>
            </w:r>
          </w:p>
          <w:p>
            <w:pPr>
              <w:spacing w:after="20"/>
            </w:pPr>
            <w:r>
              <w:rPr>
                <w:b w:val="0"/>
                <w:i w:val="0"/>
                <w:color w:val="333333"/>
                <w:sz w:val="16"/>
              </w:rPr>
              <w:t>• GHS classification: Regulation (EC) No 1272/2008 of the European Parliament and of the Council – https://eur-lex.europa.eu/eli/reg/2008/1272/oj</w:t>
            </w:r>
          </w:p>
          <w:p>
            <w:pPr>
              <w:spacing w:after="20"/>
            </w:pPr>
            <w:r>
              <w:rPr>
                <w:b w:val="0"/>
                <w:i w:val="0"/>
                <w:color w:val="333333"/>
                <w:sz w:val="16"/>
              </w:rPr>
              <w:t>• CAMEO Chemicals – https://cameochemicals.noaa.gov/chemical/667</w:t>
            </w:r>
          </w:p>
          <w:p>
            <w:pPr>
              <w:spacing w:after="20"/>
            </w:pPr>
            <w:r>
              <w:rPr>
                <w:b w:val="0"/>
                <w:i w:val="0"/>
                <w:color w:val="333333"/>
                <w:sz w:val="16"/>
              </w:rPr>
              <w:t>• ILO-WHO International Chemical Safety Cards (ICSCs) – https://chemicalsafety.ilo.org/dyn/icsc/showcard.display?p_card_id=0044</w:t>
            </w:r>
          </w:p>
          <w:p>
            <w:pPr>
              <w:spacing w:after="20"/>
            </w:pPr>
            <w:r>
              <w:rPr>
                <w:b w:val="0"/>
                <w:i w:val="0"/>
                <w:color w:val="333333"/>
                <w:sz w:val="16"/>
              </w:rPr>
              <w:t>• Hazardous Substances Data Bank (HSDB) – https://pubchem.ncbi.nlm.nih.gov/source/hsdb/82</w:t>
            </w:r>
          </w:p>
          <w:p>
            <w:pPr>
              <w:spacing w:after="20"/>
            </w:pPr>
            <w:r>
              <w:rPr>
                <w:b w:val="0"/>
                <w:i w:val="0"/>
                <w:color w:val="333333"/>
                <w:sz w:val="16"/>
              </w:rPr>
              <w:t>• Occupational Safety and Health Administration (OSHA) – https://www.osha.gov/chemicaldata/1034</w:t>
            </w:r>
          </w:p>
          <w:p>
            <w:pPr>
              <w:spacing w:after="20"/>
            </w:pPr>
            <w:r>
              <w:rPr>
                <w:b w:val="0"/>
                <w:i w:val="0"/>
                <w:color w:val="333333"/>
                <w:sz w:val="16"/>
              </w:rPr>
              <w:t>• Haz-Map, Information on Hazardous Chemicals and Occupational Diseases</w:t>
            </w:r>
          </w:p>
          <w:p>
            <w:pPr>
              <w:spacing w:after="20"/>
            </w:pPr>
            <w:r>
              <w:rPr>
                <w:b w:val="0"/>
                <w:i w:val="0"/>
                <w:color w:val="333333"/>
                <w:sz w:val="16"/>
              </w:rPr>
              <w:t>• GHS hazard and precautionary statement texts (UN GHS Rev. 10, via PubChem) – https://pubchem.ncbi.nlm.nih.gov/ghs/</w:t>
            </w:r>
          </w:p>
          <w:p>
            <w:pPr>
              <w:spacing w:after="20"/>
            </w:pPr>
            <w:r>
              <w:rPr>
                <w:b w:val="0"/>
                <w:i/>
                <w:sz w:val="16"/>
              </w:rPr>
              <w:t>Generated with Molecuul-uitlegger from public PubChem data. Always verify against the current supplier Safety Data Sheet (SDS) before starting the experiment.</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