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984"/>
        <w:gridCol w:w="5386"/>
        <w:gridCol w:w="2835"/>
      </w:tblGrid>
      <w:tr>
        <w:tc>
          <w:tcPr>
            <w:tcW w:type="dxa" w:w="1984"/>
          </w:tcPr>
          <w:p>
            <w:pPr>
              <w:spacing w:after="20"/>
              <w:jc w:val="center"/>
            </w:pPr>
            <w:r>
              <w:rPr>
                <w:b/>
                <w:i w:val="0"/>
              </w:rPr>
              <w:t>Ref. 001</w:t>
            </w:r>
          </w:p>
        </w:tc>
        <w:tc>
          <w:tcPr>
            <w:tcW w:type="dxa" w:w="5386"/>
          </w:tcPr>
          <w:p>
            <w:pPr>
              <w:spacing w:after="20"/>
              <w:jc w:val="center"/>
            </w:pPr>
            <w:r>
              <w:rPr>
                <w:b/>
                <w:i w:val="0"/>
                <w:sz w:val="28"/>
              </w:rPr>
              <w:t>Hazardous Substance Risk Assessment</w:t>
            </w:r>
          </w:p>
        </w:tc>
        <w:tc>
          <w:tcPr>
            <w:tcW w:type="dxa" w:w="2835"/>
          </w:tcPr>
          <w:p>
            <w:pPr>
              <w:spacing w:after="20"/>
              <w:jc w:val="center"/>
            </w:pPr>
            <w:r>
              <w:rPr>
                <w:b/>
                <w:i w:val="0"/>
              </w:rPr>
              <w:t>Chemical Name</w:t>
            </w:r>
          </w:p>
          <w:p>
            <w:pPr>
              <w:spacing w:after="20"/>
              <w:jc w:val="center"/>
            </w:pPr>
            <w:r>
              <w:rPr>
                <w:b w:val="0"/>
                <w:i w:val="0"/>
              </w:rPr>
              <w:t>Sulfuric Acid</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7654"/>
      </w:tblGrid>
      <w:tr>
        <w:tc>
          <w:tcPr>
            <w:tcW w:type="dxa" w:w="2551"/>
          </w:tcPr>
          <w:p>
            <w:pPr>
              <w:spacing w:after="20"/>
            </w:pPr>
            <w:r>
              <w:rPr>
                <w:b/>
                <w:i w:val="0"/>
              </w:rPr>
              <w:t>Substance(s) &amp; Manufacturer/s</w:t>
            </w:r>
          </w:p>
        </w:tc>
        <w:tc>
          <w:tcPr>
            <w:tcW w:type="dxa" w:w="7654"/>
          </w:tcPr>
          <w:p>
            <w:pPr>
              <w:spacing w:after="20"/>
            </w:pPr>
            <w:r>
              <w:rPr>
                <w:b w:val="0"/>
                <w:i w:val="0"/>
              </w:rPr>
              <w:t>Sulfuric Acid (H2O4S, CAS 7664-93-9)</w:t>
            </w:r>
          </w:p>
        </w:tc>
      </w:tr>
      <w:tr>
        <w:tc>
          <w:tcPr>
            <w:tcW w:type="dxa" w:w="2551"/>
          </w:tcPr>
          <w:p>
            <w:pPr>
              <w:spacing w:after="20"/>
            </w:pPr>
            <w:r>
              <w:rPr>
                <w:b/>
                <w:i w:val="0"/>
              </w:rPr>
              <w:t>Location/s</w:t>
            </w:r>
          </w:p>
        </w:tc>
        <w:tc>
          <w:tcPr>
            <w:tcW w:type="dxa" w:w="7654"/>
          </w:tcPr>
          <w:p>
            <w:pPr>
              <w:spacing w:after="20"/>
            </w:pPr>
            <w:r>
              <w:rPr>
                <w:b w:val="0"/>
                <w:i w:val="0"/>
              </w:rPr>
              <w:t>Lab 2.14</w:t>
            </w:r>
          </w:p>
        </w:tc>
      </w:tr>
      <w:tr>
        <w:tc>
          <w:tcPr>
            <w:tcW w:type="dxa" w:w="2551"/>
          </w:tcPr>
          <w:p>
            <w:pPr>
              <w:spacing w:after="20"/>
            </w:pPr>
            <w:r>
              <w:rPr>
                <w:b/>
                <w:i w:val="0"/>
              </w:rPr>
              <w:t>Persons at Risk</w:t>
            </w:r>
          </w:p>
        </w:tc>
        <w:tc>
          <w:tcPr>
            <w:tcW w:type="dxa" w:w="7654"/>
          </w:tcPr>
          <w:p>
            <w:pPr>
              <w:spacing w:after="20"/>
            </w:pPr>
            <w:r>
              <w:rPr>
                <w:b w:val="0"/>
                <w:i w:val="0"/>
              </w:rPr>
              <w:t>☒ Employees     ☐ Students     ☐ Contractors     ☐ Public</w:t>
            </w:r>
          </w:p>
        </w:tc>
      </w:tr>
      <w:tr>
        <w:tc>
          <w:tcPr>
            <w:tcW w:type="dxa" w:w="2551"/>
          </w:tcPr>
          <w:p>
            <w:pPr>
              <w:spacing w:after="20"/>
            </w:pPr>
            <w:r>
              <w:rPr>
                <w:b/>
                <w:i w:val="0"/>
              </w:rPr>
              <w:t>Task/s &amp; Description</w:t>
            </w:r>
          </w:p>
        </w:tc>
        <w:tc>
          <w:tcPr>
            <w:tcW w:type="dxa" w:w="7654"/>
          </w:tcPr>
          <w:p>
            <w:pPr>
              <w:spacing w:after="20"/>
            </w:pPr>
            <w:r>
              <w:rPr>
                <w:b w:val="0"/>
                <w:i w:val="0"/>
              </w:rPr>
              <w:t>Test experiment</w:t>
            </w:r>
          </w:p>
        </w:tc>
      </w:tr>
      <w:tr>
        <w:tc>
          <w:tcPr>
            <w:tcW w:type="dxa" w:w="2551"/>
          </w:tcPr>
          <w:p>
            <w:pPr>
              <w:spacing w:after="20"/>
            </w:pPr>
            <w:r>
              <w:rPr>
                <w:b/>
                <w:i w:val="0"/>
              </w:rPr>
              <w:t>Quantity used</w:t>
            </w:r>
          </w:p>
        </w:tc>
        <w:tc>
          <w:tcPr>
            <w:tcW w:type="dxa" w:w="7654"/>
          </w:tcPr>
          <w:p>
            <w:pPr>
              <w:spacing w:after="20"/>
            </w:pPr>
            <w:r>
              <w:rPr>
                <w:b w:val="0"/>
                <w:i w:val="0"/>
              </w:rPr>
              <w:t>50 mL</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Classification</w:t>
            </w:r>
            <w:r>
              <w:rPr>
                <w:b/>
                <w:i/>
              </w:rPr>
              <w:t xml:space="preserve"> (state the category of danger)</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i w:val="0"/>
              </w:rPr>
              <w:t>Hazard pictograms – select all that apply to the work activity.</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134"/>
        <w:gridCol w:w="1134"/>
        <w:gridCol w:w="1134"/>
        <w:gridCol w:w="1134"/>
        <w:gridCol w:w="1134"/>
        <w:gridCol w:w="1134"/>
        <w:gridCol w:w="1134"/>
        <w:gridCol w:w="1134"/>
        <w:gridCol w:w="1134"/>
      </w:tblGrid>
      <w:tr>
        <w:tc>
          <w:tcPr>
            <w:tcW w:type="dxa" w:w="1134"/>
          </w:tcPr>
          <w:p>
            <w:pPr>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GHS08.png"/>
                          <pic:cNvPicPr/>
                        </pic:nvPicPr>
                        <pic:blipFill>
                          <a:blip r:embed="rId9"/>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GHS06.png"/>
                          <pic:cNvPicPr/>
                        </pic:nvPicPr>
                        <pic:blipFill>
                          <a:blip r:embed="rId10"/>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3" name="Picture 3"/>
                  <wp:cNvGraphicFramePr>
                    <a:graphicFrameLocks noChangeAspect="1"/>
                  </wp:cNvGraphicFramePr>
                  <a:graphic>
                    <a:graphicData uri="http://schemas.openxmlformats.org/drawingml/2006/picture">
                      <pic:pic>
                        <pic:nvPicPr>
                          <pic:cNvPr id="0" name="GHS05.png"/>
                          <pic:cNvPicPr/>
                        </pic:nvPicPr>
                        <pic:blipFill>
                          <a:blip r:embed="rId11"/>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4" name="Picture 4"/>
                  <wp:cNvGraphicFramePr>
                    <a:graphicFrameLocks noChangeAspect="1"/>
                  </wp:cNvGraphicFramePr>
                  <a:graphic>
                    <a:graphicData uri="http://schemas.openxmlformats.org/drawingml/2006/picture">
                      <pic:pic>
                        <pic:nvPicPr>
                          <pic:cNvPr id="0" name="GHS07.png"/>
                          <pic:cNvPicPr/>
                        </pic:nvPicPr>
                        <pic:blipFill>
                          <a:blip r:embed="rId12"/>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5" name="Picture 5"/>
                  <wp:cNvGraphicFramePr>
                    <a:graphicFrameLocks noChangeAspect="1"/>
                  </wp:cNvGraphicFramePr>
                  <a:graphic>
                    <a:graphicData uri="http://schemas.openxmlformats.org/drawingml/2006/picture">
                      <pic:pic>
                        <pic:nvPicPr>
                          <pic:cNvPr id="0" name="GHS02.png"/>
                          <pic:cNvPicPr/>
                        </pic:nvPicPr>
                        <pic:blipFill>
                          <a:blip r:embed="rId13"/>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6" name="Picture 6"/>
                  <wp:cNvGraphicFramePr>
                    <a:graphicFrameLocks noChangeAspect="1"/>
                  </wp:cNvGraphicFramePr>
                  <a:graphic>
                    <a:graphicData uri="http://schemas.openxmlformats.org/drawingml/2006/picture">
                      <pic:pic>
                        <pic:nvPicPr>
                          <pic:cNvPr id="0" name="GHS03.png"/>
                          <pic:cNvPicPr/>
                        </pic:nvPicPr>
                        <pic:blipFill>
                          <a:blip r:embed="rId14"/>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7" name="Picture 7"/>
                  <wp:cNvGraphicFramePr>
                    <a:graphicFrameLocks noChangeAspect="1"/>
                  </wp:cNvGraphicFramePr>
                  <a:graphic>
                    <a:graphicData uri="http://schemas.openxmlformats.org/drawingml/2006/picture">
                      <pic:pic>
                        <pic:nvPicPr>
                          <pic:cNvPr id="0" name="GHS01.png"/>
                          <pic:cNvPicPr/>
                        </pic:nvPicPr>
                        <pic:blipFill>
                          <a:blip r:embed="rId15"/>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8" name="Picture 8"/>
                  <wp:cNvGraphicFramePr>
                    <a:graphicFrameLocks noChangeAspect="1"/>
                  </wp:cNvGraphicFramePr>
                  <a:graphic>
                    <a:graphicData uri="http://schemas.openxmlformats.org/drawingml/2006/picture">
                      <pic:pic>
                        <pic:nvPicPr>
                          <pic:cNvPr id="0" name="GHS04.png"/>
                          <pic:cNvPicPr/>
                        </pic:nvPicPr>
                        <pic:blipFill>
                          <a:blip r:embed="rId16"/>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9" name="Picture 9"/>
                  <wp:cNvGraphicFramePr>
                    <a:graphicFrameLocks noChangeAspect="1"/>
                  </wp:cNvGraphicFramePr>
                  <a:graphic>
                    <a:graphicData uri="http://schemas.openxmlformats.org/drawingml/2006/picture">
                      <pic:pic>
                        <pic:nvPicPr>
                          <pic:cNvPr id="0" name="GHS09.png"/>
                          <pic:cNvPicPr/>
                        </pic:nvPicPr>
                        <pic:blipFill>
                          <a:blip r:embed="rId17"/>
                          <a:stretch>
                            <a:fillRect/>
                          </a:stretch>
                        </pic:blipFill>
                        <pic:spPr>
                          <a:xfrm>
                            <a:off x="0" y="0"/>
                            <a:ext cx="540000" cy="540000"/>
                          </a:xfrm>
                          <a:prstGeom prst="rect"/>
                        </pic:spPr>
                      </pic:pic>
                    </a:graphicData>
                  </a:graphic>
                </wp:inline>
              </w:drawing>
            </w:r>
          </w:p>
        </w:tc>
      </w:tr>
      <w:tr>
        <w:tc>
          <w:tcPr>
            <w:tcW w:type="dxa" w:w="1134"/>
          </w:tcPr>
          <w:p>
            <w:pPr>
              <w:spacing w:after="20"/>
              <w:jc w:val="center"/>
            </w:pPr>
            <w:r>
              <w:rPr>
                <w:b w:val="0"/>
                <w:i w:val="0"/>
                <w:sz w:val="14"/>
              </w:rPr>
              <w:t>Serious Harm to Health</w:t>
            </w:r>
          </w:p>
        </w:tc>
        <w:tc>
          <w:tcPr>
            <w:tcW w:type="dxa" w:w="1134"/>
          </w:tcPr>
          <w:p>
            <w:pPr>
              <w:spacing w:after="20"/>
              <w:jc w:val="center"/>
            </w:pPr>
            <w:r>
              <w:rPr>
                <w:b w:val="0"/>
                <w:i w:val="0"/>
                <w:sz w:val="14"/>
              </w:rPr>
              <w:t>Toxic</w:t>
            </w:r>
          </w:p>
        </w:tc>
        <w:tc>
          <w:tcPr>
            <w:tcW w:type="dxa" w:w="1134"/>
          </w:tcPr>
          <w:p>
            <w:pPr>
              <w:spacing w:after="20"/>
              <w:jc w:val="center"/>
            </w:pPr>
            <w:r>
              <w:rPr>
                <w:b w:val="0"/>
                <w:i w:val="0"/>
                <w:sz w:val="14"/>
              </w:rPr>
              <w:t>Corrosive</w:t>
            </w:r>
          </w:p>
        </w:tc>
        <w:tc>
          <w:tcPr>
            <w:tcW w:type="dxa" w:w="1134"/>
          </w:tcPr>
          <w:p>
            <w:pPr>
              <w:spacing w:after="20"/>
              <w:jc w:val="center"/>
            </w:pPr>
            <w:r>
              <w:rPr>
                <w:b w:val="0"/>
                <w:i w:val="0"/>
                <w:sz w:val="14"/>
              </w:rPr>
              <w:t>Irritant</w:t>
            </w:r>
          </w:p>
        </w:tc>
        <w:tc>
          <w:tcPr>
            <w:tcW w:type="dxa" w:w="1134"/>
          </w:tcPr>
          <w:p>
            <w:pPr>
              <w:spacing w:after="20"/>
              <w:jc w:val="center"/>
            </w:pPr>
            <w:r>
              <w:rPr>
                <w:b w:val="0"/>
                <w:i w:val="0"/>
                <w:sz w:val="14"/>
              </w:rPr>
              <w:t>Flammable</w:t>
            </w:r>
          </w:p>
        </w:tc>
        <w:tc>
          <w:tcPr>
            <w:tcW w:type="dxa" w:w="1134"/>
          </w:tcPr>
          <w:p>
            <w:pPr>
              <w:spacing w:after="20"/>
              <w:jc w:val="center"/>
            </w:pPr>
            <w:r>
              <w:rPr>
                <w:b w:val="0"/>
                <w:i w:val="0"/>
                <w:sz w:val="14"/>
              </w:rPr>
              <w:t>Oxidiser</w:t>
            </w:r>
          </w:p>
        </w:tc>
        <w:tc>
          <w:tcPr>
            <w:tcW w:type="dxa" w:w="1134"/>
          </w:tcPr>
          <w:p>
            <w:pPr>
              <w:spacing w:after="20"/>
              <w:jc w:val="center"/>
            </w:pPr>
            <w:r>
              <w:rPr>
                <w:b w:val="0"/>
                <w:i w:val="0"/>
                <w:sz w:val="14"/>
              </w:rPr>
              <w:t>Explosive</w:t>
            </w:r>
          </w:p>
        </w:tc>
        <w:tc>
          <w:tcPr>
            <w:tcW w:type="dxa" w:w="1134"/>
          </w:tcPr>
          <w:p>
            <w:pPr>
              <w:spacing w:after="20"/>
              <w:jc w:val="center"/>
            </w:pPr>
            <w:r>
              <w:rPr>
                <w:b w:val="0"/>
                <w:i w:val="0"/>
                <w:sz w:val="14"/>
              </w:rPr>
              <w:t>Gas Under Pressure</w:t>
            </w:r>
          </w:p>
        </w:tc>
        <w:tc>
          <w:tcPr>
            <w:tcW w:type="dxa" w:w="1134"/>
          </w:tcPr>
          <w:p>
            <w:pPr>
              <w:spacing w:after="20"/>
              <w:jc w:val="center"/>
            </w:pPr>
            <w:r>
              <w:rPr>
                <w:b w:val="0"/>
                <w:i w:val="0"/>
                <w:sz w:val="14"/>
              </w:rPr>
              <w:t>Risk to Environment</w:t>
            </w:r>
          </w:p>
        </w:tc>
      </w:tr>
      <w:tr>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t>X</w:t>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7654"/>
      </w:tblGrid>
      <w:tr>
        <w:tc>
          <w:tcPr>
            <w:tcW w:type="dxa" w:w="2551"/>
          </w:tcPr>
          <w:p>
            <w:pPr>
              <w:spacing w:after="20"/>
            </w:pPr>
            <w:r>
              <w:rPr>
                <w:b/>
                <w:i w:val="0"/>
              </w:rPr>
              <w:t>Signal word</w:t>
            </w:r>
          </w:p>
        </w:tc>
        <w:tc>
          <w:tcPr>
            <w:tcW w:type="dxa" w:w="7654"/>
          </w:tcPr>
          <w:p>
            <w:pPr>
              <w:spacing w:after="20"/>
            </w:pPr>
            <w:r>
              <w:rPr>
                <w:b/>
                <w:i w:val="0"/>
              </w:rPr>
              <w:t>DANGER</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Hazard Type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 xml:space="preserve">☐ Gas     ☐ Vapour     ☒ Mist     ☐ Fume     ☐ Dust     ☒ Liquid     ☐ Solid     ☐ Other: </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Hazard Statements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H314 – Causes severe skin burns and eye damage</w:t>
            </w:r>
          </w:p>
          <w:p>
            <w:pPr>
              <w:spacing w:after="20"/>
            </w:pPr>
            <w:r>
              <w:rPr>
                <w:b w:val="0"/>
                <w:i w:val="0"/>
              </w:rPr>
              <w:t>Classification source: Regulation (EC) No 1272/2008 of the European Parliament and of the Council</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Precautionary Statements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P260 – Do not breathe dust/fume/gas/mist/vapors/spray.</w:t>
            </w:r>
          </w:p>
          <w:p>
            <w:pPr>
              <w:spacing w:after="20"/>
            </w:pPr>
            <w:r>
              <w:rPr>
                <w:b w:val="0"/>
                <w:i w:val="0"/>
              </w:rPr>
              <w:t>P264 – Wash hands [and ...] thoroughly after handling.</w:t>
            </w:r>
          </w:p>
          <w:p>
            <w:pPr>
              <w:spacing w:after="20"/>
            </w:pPr>
            <w:r>
              <w:rPr>
                <w:b w:val="0"/>
                <w:i w:val="0"/>
              </w:rPr>
              <w:t>P280 – Wear protective gloves/protective clothing/eye protection/face protection/hearing protection/...</w:t>
            </w:r>
          </w:p>
          <w:p>
            <w:pPr>
              <w:spacing w:after="20"/>
            </w:pPr>
            <w:r>
              <w:rPr>
                <w:b w:val="0"/>
                <w:i w:val="0"/>
              </w:rPr>
              <w:t>P301+P330+P331 – IF SWALLOWED: Rinse mouth. Do NOT induce vomiting.</w:t>
            </w:r>
          </w:p>
          <w:p>
            <w:pPr>
              <w:spacing w:after="20"/>
            </w:pPr>
            <w:r>
              <w:rPr>
                <w:b w:val="0"/>
                <w:i w:val="0"/>
              </w:rPr>
              <w:t>P302+P361+P354 – IF ON SKIN: Take off Immediately all contaminated clothing. Immediately rinse with water for several minutes.</w:t>
            </w:r>
          </w:p>
          <w:p>
            <w:pPr>
              <w:spacing w:after="20"/>
            </w:pPr>
            <w:r>
              <w:rPr>
                <w:b w:val="0"/>
                <w:i w:val="0"/>
              </w:rPr>
              <w:t>P304+P340 – IF INHALED: Remove person to fresh air and keep comfortable for breathing.</w:t>
            </w:r>
          </w:p>
          <w:p>
            <w:pPr>
              <w:spacing w:after="20"/>
            </w:pPr>
            <w:r>
              <w:rPr>
                <w:b w:val="0"/>
                <w:i w:val="0"/>
              </w:rPr>
              <w:t>P305+P354+P338 – IF IN EYES: Immediately rinse with water for several minutes. Remove contact lenses if present and easy to do. Continue rinsing.</w:t>
            </w:r>
          </w:p>
          <w:p>
            <w:pPr>
              <w:spacing w:after="20"/>
            </w:pPr>
            <w:r>
              <w:rPr>
                <w:b w:val="0"/>
                <w:i w:val="0"/>
              </w:rPr>
              <w:t>P316 – Get emergency medical help immediately.</w:t>
            </w:r>
          </w:p>
          <w:p>
            <w:pPr>
              <w:spacing w:after="20"/>
            </w:pPr>
            <w:r>
              <w:rPr>
                <w:b w:val="0"/>
                <w:i w:val="0"/>
              </w:rPr>
              <w:t>P321 – Specific treatment (see ... on this label).</w:t>
            </w:r>
          </w:p>
          <w:p>
            <w:pPr>
              <w:spacing w:after="20"/>
            </w:pPr>
            <w:r>
              <w:rPr>
                <w:b w:val="0"/>
                <w:i w:val="0"/>
              </w:rPr>
              <w:t>P363 – Wash contaminated clothing before reuse.</w:t>
            </w:r>
          </w:p>
          <w:p>
            <w:pPr>
              <w:spacing w:after="20"/>
            </w:pPr>
            <w:r>
              <w:rPr>
                <w:b w:val="0"/>
                <w:i w:val="0"/>
              </w:rPr>
              <w:t>P405 – Store locked up.</w:t>
            </w:r>
          </w:p>
          <w:p>
            <w:pPr>
              <w:spacing w:after="20"/>
            </w:pPr>
            <w:r>
              <w:rPr>
                <w:b w:val="0"/>
                <w:i w:val="0"/>
              </w:rPr>
              <w:t>P501 – Dispose of contents/container to ...</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Main Route of Exposure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 Inhalation     ☒ Skin     ☒ Eyes     ☐ Ingestion</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Control Parameters:</w:t>
            </w:r>
            <w:r>
              <w:rPr>
                <w:b/>
                <w:i/>
              </w:rPr>
              <w:t xml:space="preserve"> Exposure Limits and Monitoring</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 ACGIH TLV: 8 hr Time Weighted Avg (TWA): 0.2 mg/cu m (thoracic particulate matter). (Hazardous Substances Data Bank (HSDB))</w:t>
            </w:r>
          </w:p>
          <w:p>
            <w:pPr>
              <w:spacing w:after="20"/>
            </w:pPr>
            <w:r>
              <w:rPr>
                <w:b w:val="0"/>
                <w:i w:val="0"/>
              </w:rPr>
              <w:t>• OEL: EU-OEL: 0.05 mg/m³ (ILO-WHO International Chemical Safety Cards (ICSCs))</w:t>
            </w:r>
          </w:p>
          <w:p>
            <w:pPr>
              <w:spacing w:after="20"/>
            </w:pPr>
            <w:r>
              <w:rPr>
                <w:b w:val="0"/>
                <w:i w:val="0"/>
              </w:rPr>
              <w:t>• NIOSH REL: REL-TWA (Time Weighted Average): 1 mg/m³ (Occupational Safety and Health Administration (OSHA))</w:t>
            </w:r>
          </w:p>
          <w:p>
            <w:pPr>
              <w:spacing w:after="20"/>
            </w:pPr>
            <w:r>
              <w:rPr>
                <w:b w:val="0"/>
                <w:i w:val="0"/>
              </w:rPr>
              <w:t>• OSHA PEL: 1.0 [mg/m3] (Haz-Map, Information on Hazardous Chemicals and Occupational Diseases)</w:t>
            </w:r>
          </w:p>
          <w:p>
            <w:pPr>
              <w:spacing w:after="20"/>
            </w:pPr>
            <w:r>
              <w:rPr>
                <w:b w:val="0"/>
                <w:i w:val="0"/>
              </w:rPr>
              <w:t>• IDLH: 15 mg/cu m (Hazardous Substances Data Bank (HSDB))</w:t>
            </w:r>
          </w:p>
          <w:p>
            <w:pPr>
              <w:spacing w:after="20"/>
            </w:pPr>
            <w:r>
              <w:rPr>
                <w:b w:val="0"/>
                <w:i w:val="0"/>
              </w:rPr>
              <w:t>Monitoring: Work in a fume cupboard keeps exposure well below the limits above; no personal air monitoring is required for small-scale laboratory use. Check the fume cupboard airflow indicator before use.</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Control Measures:</w:t>
            </w:r>
            <w:r>
              <w:rPr>
                <w:b/>
                <w:i/>
              </w:rPr>
              <w:t xml:space="preserve"> Note engineering, ventilation and other requirements needed</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i w:val="0"/>
              </w:rPr>
              <w:t>Engineering Measures</w:t>
            </w:r>
          </w:p>
          <w:p>
            <w:pPr>
              <w:spacing w:after="20"/>
            </w:pPr>
            <w:r>
              <w:rPr>
                <w:b w:val="0"/>
                <w:i w:val="0"/>
              </w:rPr>
              <w:t>• Handle in a fume cupboard (local exhaust ventilation, EN 14175); keep the sash as low as possible.</w:t>
            </w:r>
          </w:p>
          <w:p>
            <w:pPr>
              <w:spacing w:after="20"/>
            </w:pPr>
            <w:r>
              <w:rPr>
                <w:b w:val="0"/>
                <w:i w:val="0"/>
              </w:rPr>
              <w:t>• Use a spill tray (secondary containment) and work with the smallest practical quantity.</w:t>
            </w:r>
          </w:p>
          <w:p>
            <w:pPr>
              <w:spacing w:after="20"/>
            </w:pPr>
            <w:r>
              <w:rPr>
                <w:b w:val="0"/>
                <w:i w:val="0"/>
              </w:rPr>
              <w:t>• ICSC advice: Use ventilation, local exhaust or breathing protection.</w:t>
            </w:r>
          </w:p>
          <w:p>
            <w:pPr>
              <w:spacing w:after="20"/>
            </w:pPr>
            <w:r>
              <w:rPr>
                <w:b w:val="0"/>
                <w:i w:val="0"/>
              </w:rPr>
              <w:t>• ICSC advice: NO contact with incompatible materials: See Chemical Dangers</w:t>
            </w:r>
          </w:p>
          <w:p>
            <w:pPr>
              <w:spacing w:after="20"/>
            </w:pPr>
            <w:r>
              <w:rPr>
                <w:b/>
                <w:i w:val="0"/>
              </w:rPr>
              <w:t>Hygiene Measures</w:t>
            </w:r>
          </w:p>
          <w:p>
            <w:pPr>
              <w:spacing w:after="20"/>
            </w:pPr>
            <w:r>
              <w:rPr>
                <w:b w:val="0"/>
                <w:i w:val="0"/>
              </w:rPr>
              <w:t>• Wash hands thoroughly after handling (P264).</w:t>
            </w:r>
          </w:p>
          <w:p>
            <w:pPr>
              <w:spacing w:after="20"/>
            </w:pPr>
            <w:r>
              <w:rPr>
                <w:b w:val="0"/>
                <w:i w:val="0"/>
              </w:rPr>
              <w:t>• Do not eat, drink or smoke in the laboratory (P270).</w:t>
            </w:r>
          </w:p>
          <w:p>
            <w:pPr>
              <w:spacing w:after="20"/>
            </w:pPr>
            <w:r>
              <w:rPr>
                <w:b w:val="0"/>
                <w:i w:val="0"/>
              </w:rPr>
              <w:t>• Clean the work area and equipment after use; clean up spills immediately.</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Personal Protective Equipment</w:t>
            </w:r>
            <w:r>
              <w:rPr>
                <w:b/>
                <w:i/>
              </w:rPr>
              <w:t xml:space="preserve"> (state type and standard)</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680"/>
        <w:gridCol w:w="3005"/>
        <w:gridCol w:w="2551"/>
        <w:gridCol w:w="3969"/>
      </w:tblGrid>
      <w:tr>
        <w:tc>
          <w:tcPr>
            <w:tcW w:type="dxa" w:w="680"/>
          </w:tcPr>
          <w:p>
            <w:pPr>
              <w:spacing w:after="20"/>
            </w:pPr>
            <w:r>
              <w:rPr>
                <w:b/>
                <w:i w:val="0"/>
              </w:rPr>
            </w:r>
          </w:p>
        </w:tc>
        <w:tc>
          <w:tcPr>
            <w:tcW w:type="dxa" w:w="3005"/>
          </w:tcPr>
          <w:p>
            <w:pPr>
              <w:spacing w:after="20"/>
            </w:pPr>
            <w:r>
              <w:rPr>
                <w:b/>
                <w:i w:val="0"/>
              </w:rPr>
              <w:t>Type</w:t>
            </w:r>
          </w:p>
        </w:tc>
        <w:tc>
          <w:tcPr>
            <w:tcW w:type="dxa" w:w="2551"/>
          </w:tcPr>
          <w:p>
            <w:pPr>
              <w:spacing w:after="20"/>
            </w:pPr>
            <w:r>
              <w:rPr>
                <w:b/>
                <w:i w:val="0"/>
              </w:rPr>
              <w:t>Standard</w:t>
            </w:r>
          </w:p>
        </w:tc>
        <w:tc>
          <w:tcPr>
            <w:tcW w:type="dxa" w:w="3969"/>
          </w:tcPr>
          <w:p>
            <w:pPr>
              <w:spacing w:after="20"/>
            </w:pPr>
            <w:r>
              <w:rPr>
                <w:b/>
                <w:i w:val="0"/>
              </w:rPr>
              <w:t>Notes</w:t>
            </w:r>
          </w:p>
        </w:tc>
      </w:tr>
      <w:tr>
        <w:tc>
          <w:tcPr>
            <w:tcW w:type="dxa" w:w="680"/>
          </w:tcPr>
          <w:p>
            <w:pPr>
              <w:spacing w:after="20"/>
              <w:jc w:val="center"/>
            </w:pPr>
            <w:r>
              <w:rPr>
                <w:b w:val="0"/>
                <w:i w:val="0"/>
                <w:sz w:val="24"/>
              </w:rPr>
              <w:t>☒</w:t>
            </w:r>
          </w:p>
        </w:tc>
        <w:tc>
          <w:tcPr>
            <w:tcW w:type="dxa" w:w="3005"/>
          </w:tcPr>
          <w:p>
            <w:pPr>
              <w:spacing w:after="20"/>
            </w:pPr>
            <w:r>
              <w:rPr>
                <w:b/>
                <w:i w:val="0"/>
              </w:rPr>
              <w:t>Laboratory coat</w:t>
            </w:r>
          </w:p>
        </w:tc>
        <w:tc>
          <w:tcPr>
            <w:tcW w:type="dxa" w:w="2551"/>
          </w:tcPr>
          <w:p>
            <w:pPr>
              <w:spacing w:after="20"/>
            </w:pPr>
            <w:r>
              <w:rPr>
                <w:b w:val="0"/>
                <w:i w:val="0"/>
              </w:rPr>
              <w:t>EN ISO 13688 (EN 13034 Type 6 for liquid chemicals)</w:t>
            </w:r>
          </w:p>
        </w:tc>
        <w:tc>
          <w:tcPr>
            <w:tcW w:type="dxa" w:w="3969"/>
          </w:tcPr>
          <w:p>
            <w:pPr>
              <w:spacing w:after="20"/>
            </w:pPr>
            <w:r>
              <w:rPr>
                <w:b w:val="0"/>
                <w:i w:val="0"/>
              </w:rPr>
              <w:t>Fully buttoned, long sleeves.</w:t>
            </w:r>
          </w:p>
        </w:tc>
      </w:tr>
      <w:tr>
        <w:tc>
          <w:tcPr>
            <w:tcW w:type="dxa" w:w="680"/>
          </w:tcPr>
          <w:p>
            <w:pPr>
              <w:spacing w:after="20"/>
              <w:jc w:val="center"/>
            </w:pPr>
            <w:r>
              <w:rPr>
                <w:b w:val="0"/>
                <w:i w:val="0"/>
                <w:sz w:val="24"/>
              </w:rPr>
              <w:t>☐</w:t>
            </w:r>
          </w:p>
        </w:tc>
        <w:tc>
          <w:tcPr>
            <w:tcW w:type="dxa" w:w="3005"/>
          </w:tcPr>
          <w:p>
            <w:pPr>
              <w:spacing w:after="20"/>
            </w:pPr>
            <w:r>
              <w:rPr>
                <w:b w:val="0"/>
                <w:i w:val="0"/>
              </w:rPr>
              <w:t>Safety glasses with side shields</w:t>
            </w:r>
          </w:p>
        </w:tc>
        <w:tc>
          <w:tcPr>
            <w:tcW w:type="dxa" w:w="2551"/>
          </w:tcPr>
          <w:p>
            <w:pPr>
              <w:spacing w:after="20"/>
            </w:pPr>
            <w:r>
              <w:rPr>
                <w:b w:val="0"/>
                <w:i w:val="0"/>
              </w:rPr>
              <w:t>EN 166</w:t>
            </w:r>
          </w:p>
        </w:tc>
        <w:tc>
          <w:tcPr>
            <w:tcW w:type="dxa" w:w="3969"/>
          </w:tcPr>
          <w:p>
            <w:pPr>
              <w:spacing w:after="20"/>
            </w:pPr>
            <w:r>
              <w:rPr>
                <w:b w:val="0"/>
                <w:i w:val="0"/>
              </w:rPr>
              <w:t>Minimum eye protection in the laboratory.</w:t>
            </w:r>
          </w:p>
        </w:tc>
      </w:tr>
      <w:tr>
        <w:tc>
          <w:tcPr>
            <w:tcW w:type="dxa" w:w="680"/>
          </w:tcPr>
          <w:p>
            <w:pPr>
              <w:spacing w:after="20"/>
              <w:jc w:val="center"/>
            </w:pPr>
            <w:r>
              <w:rPr>
                <w:b w:val="0"/>
                <w:i w:val="0"/>
                <w:sz w:val="24"/>
              </w:rPr>
              <w:t>☒</w:t>
            </w:r>
          </w:p>
        </w:tc>
        <w:tc>
          <w:tcPr>
            <w:tcW w:type="dxa" w:w="3005"/>
          </w:tcPr>
          <w:p>
            <w:pPr>
              <w:spacing w:after="20"/>
            </w:pPr>
            <w:r>
              <w:rPr>
                <w:b/>
                <w:i w:val="0"/>
              </w:rPr>
              <w:t>Chemical splash goggles</w:t>
            </w:r>
          </w:p>
        </w:tc>
        <w:tc>
          <w:tcPr>
            <w:tcW w:type="dxa" w:w="2551"/>
          </w:tcPr>
          <w:p>
            <w:pPr>
              <w:spacing w:after="20"/>
            </w:pPr>
            <w:r>
              <w:rPr>
                <w:b w:val="0"/>
                <w:i w:val="0"/>
              </w:rPr>
              <w:t>EN 166 (marking 3)</w:t>
            </w:r>
          </w:p>
        </w:tc>
        <w:tc>
          <w:tcPr>
            <w:tcW w:type="dxa" w:w="3969"/>
          </w:tcPr>
          <w:p>
            <w:pPr>
              <w:spacing w:after="20"/>
            </w:pPr>
            <w:r>
              <w:rPr>
                <w:b w:val="0"/>
                <w:i w:val="0"/>
              </w:rPr>
              <w:t>Required when there is a splash risk to the eyes.</w:t>
            </w:r>
          </w:p>
        </w:tc>
      </w:tr>
      <w:tr>
        <w:tc>
          <w:tcPr>
            <w:tcW w:type="dxa" w:w="680"/>
          </w:tcPr>
          <w:p>
            <w:pPr>
              <w:spacing w:after="20"/>
              <w:jc w:val="center"/>
            </w:pPr>
            <w:r>
              <w:rPr>
                <w:b w:val="0"/>
                <w:i w:val="0"/>
                <w:sz w:val="24"/>
              </w:rPr>
              <w:t>☒</w:t>
            </w:r>
          </w:p>
        </w:tc>
        <w:tc>
          <w:tcPr>
            <w:tcW w:type="dxa" w:w="3005"/>
          </w:tcPr>
          <w:p>
            <w:pPr>
              <w:spacing w:after="20"/>
            </w:pPr>
            <w:r>
              <w:rPr>
                <w:b/>
                <w:i w:val="0"/>
              </w:rPr>
              <w:t>Face shield / visor</w:t>
            </w:r>
          </w:p>
        </w:tc>
        <w:tc>
          <w:tcPr>
            <w:tcW w:type="dxa" w:w="2551"/>
          </w:tcPr>
          <w:p>
            <w:pPr>
              <w:spacing w:after="20"/>
            </w:pPr>
            <w:r>
              <w:rPr>
                <w:b w:val="0"/>
                <w:i w:val="0"/>
              </w:rPr>
              <w:t>EN 166</w:t>
            </w:r>
          </w:p>
        </w:tc>
        <w:tc>
          <w:tcPr>
            <w:tcW w:type="dxa" w:w="3969"/>
          </w:tcPr>
          <w:p>
            <w:pPr>
              <w:spacing w:after="20"/>
            </w:pPr>
            <w:r>
              <w:rPr>
                <w:b w:val="0"/>
                <w:i w:val="0"/>
              </w:rPr>
              <w:t>Wear over goggles when handling corrosive liquids.</w:t>
            </w:r>
          </w:p>
        </w:tc>
      </w:tr>
      <w:tr>
        <w:tc>
          <w:tcPr>
            <w:tcW w:type="dxa" w:w="680"/>
          </w:tcPr>
          <w:p>
            <w:pPr>
              <w:spacing w:after="20"/>
              <w:jc w:val="center"/>
            </w:pPr>
            <w:r>
              <w:rPr>
                <w:b w:val="0"/>
                <w:i w:val="0"/>
                <w:sz w:val="24"/>
              </w:rPr>
              <w:t>☒</w:t>
            </w:r>
          </w:p>
        </w:tc>
        <w:tc>
          <w:tcPr>
            <w:tcW w:type="dxa" w:w="3005"/>
          </w:tcPr>
          <w:p>
            <w:pPr>
              <w:spacing w:after="20"/>
            </w:pPr>
            <w:r>
              <w:rPr>
                <w:b/>
                <w:i w:val="0"/>
              </w:rPr>
              <w:t>Chemical-resistant gloves</w:t>
            </w:r>
          </w:p>
        </w:tc>
        <w:tc>
          <w:tcPr>
            <w:tcW w:type="dxa" w:w="2551"/>
          </w:tcPr>
          <w:p>
            <w:pPr>
              <w:spacing w:after="20"/>
            </w:pPr>
            <w:r>
              <w:rPr>
                <w:b w:val="0"/>
                <w:i w:val="0"/>
              </w:rPr>
              <w:t>EN ISO 374-1</w:t>
            </w:r>
          </w:p>
        </w:tc>
        <w:tc>
          <w:tcPr>
            <w:tcW w:type="dxa" w:w="3969"/>
          </w:tcPr>
          <w:p>
            <w:pPr>
              <w:spacing w:after="20"/>
            </w:pPr>
            <w:r>
              <w:rPr>
                <w:b w:val="0"/>
                <w:i w:val="0"/>
              </w:rPr>
              <w:t>Nitrile is a common choice; check breakthrough time and material in the supplier SDS.</w:t>
            </w:r>
          </w:p>
        </w:tc>
      </w:tr>
      <w:tr>
        <w:tc>
          <w:tcPr>
            <w:tcW w:type="dxa" w:w="680"/>
          </w:tcPr>
          <w:p>
            <w:pPr>
              <w:spacing w:after="20"/>
              <w:jc w:val="center"/>
            </w:pPr>
            <w:r>
              <w:rPr>
                <w:b w:val="0"/>
                <w:i w:val="0"/>
                <w:sz w:val="24"/>
              </w:rPr>
              <w:t>☐</w:t>
            </w:r>
          </w:p>
        </w:tc>
        <w:tc>
          <w:tcPr>
            <w:tcW w:type="dxa" w:w="3005"/>
          </w:tcPr>
          <w:p>
            <w:pPr>
              <w:spacing w:after="20"/>
            </w:pPr>
            <w:r>
              <w:rPr>
                <w:b w:val="0"/>
                <w:i w:val="0"/>
              </w:rPr>
              <w:t>Dust mask (FFP2)</w:t>
            </w:r>
          </w:p>
        </w:tc>
        <w:tc>
          <w:tcPr>
            <w:tcW w:type="dxa" w:w="2551"/>
          </w:tcPr>
          <w:p>
            <w:pPr>
              <w:spacing w:after="20"/>
            </w:pPr>
            <w:r>
              <w:rPr>
                <w:b w:val="0"/>
                <w:i w:val="0"/>
              </w:rPr>
              <w:t>EN 149</w:t>
            </w:r>
          </w:p>
        </w:tc>
        <w:tc>
          <w:tcPr>
            <w:tcW w:type="dxa" w:w="3969"/>
          </w:tcPr>
          <w:p>
            <w:pPr>
              <w:spacing w:after="20"/>
            </w:pPr>
            <w:r>
              <w:rPr>
                <w:b w:val="0"/>
                <w:i w:val="0"/>
              </w:rPr>
              <w:t>Only if dust cannot be controlled with extraction.</w:t>
            </w:r>
          </w:p>
        </w:tc>
      </w:tr>
      <w:tr>
        <w:tc>
          <w:tcPr>
            <w:tcW w:type="dxa" w:w="680"/>
          </w:tcPr>
          <w:p>
            <w:pPr>
              <w:spacing w:after="20"/>
              <w:jc w:val="center"/>
            </w:pPr>
            <w:r>
              <w:rPr>
                <w:b w:val="0"/>
                <w:i w:val="0"/>
                <w:sz w:val="24"/>
              </w:rPr>
              <w:t>☐</w:t>
            </w:r>
          </w:p>
        </w:tc>
        <w:tc>
          <w:tcPr>
            <w:tcW w:type="dxa" w:w="3005"/>
          </w:tcPr>
          <w:p>
            <w:pPr>
              <w:spacing w:after="20"/>
            </w:pPr>
            <w:r>
              <w:rPr>
                <w:b w:val="0"/>
                <w:i w:val="0"/>
              </w:rPr>
              <w:t>Respirator with gas/vapour filter</w:t>
            </w:r>
          </w:p>
        </w:tc>
        <w:tc>
          <w:tcPr>
            <w:tcW w:type="dxa" w:w="2551"/>
          </w:tcPr>
          <w:p>
            <w:pPr>
              <w:spacing w:after="20"/>
            </w:pPr>
            <w:r>
              <w:rPr>
                <w:b w:val="0"/>
                <w:i w:val="0"/>
              </w:rPr>
              <w:t>EN 14387</w:t>
            </w:r>
          </w:p>
        </w:tc>
        <w:tc>
          <w:tcPr>
            <w:tcW w:type="dxa" w:w="3969"/>
          </w:tcPr>
          <w:p>
            <w:pPr>
              <w:spacing w:after="20"/>
            </w:pPr>
            <w:r>
              <w:rPr>
                <w:b w:val="0"/>
                <w:i w:val="0"/>
              </w:rPr>
              <w:t>Only if work outside a fume cupboard is unavoidable (e.g. spill clean-up).</w:t>
            </w:r>
          </w:p>
        </w:tc>
      </w:tr>
      <w:tr>
        <w:tc>
          <w:tcPr>
            <w:tcW w:type="dxa" w:w="680"/>
          </w:tcPr>
          <w:p>
            <w:pPr>
              <w:spacing w:after="20"/>
              <w:jc w:val="center"/>
            </w:pPr>
            <w:r>
              <w:rPr>
                <w:b w:val="0"/>
                <w:i w:val="0"/>
                <w:sz w:val="24"/>
              </w:rPr>
              <w:t>☒</w:t>
            </w:r>
          </w:p>
        </w:tc>
        <w:tc>
          <w:tcPr>
            <w:tcW w:type="dxa" w:w="3005"/>
          </w:tcPr>
          <w:p>
            <w:pPr>
              <w:spacing w:after="20"/>
            </w:pPr>
            <w:r>
              <w:rPr>
                <w:b/>
                <w:i w:val="0"/>
              </w:rPr>
              <w:t>Closed footwear</w:t>
            </w:r>
          </w:p>
        </w:tc>
        <w:tc>
          <w:tcPr>
            <w:tcW w:type="dxa" w:w="2551"/>
          </w:tcPr>
          <w:p>
            <w:pPr>
              <w:spacing w:after="20"/>
            </w:pPr>
            <w:r>
              <w:rPr>
                <w:b w:val="0"/>
                <w:i w:val="0"/>
              </w:rPr>
              <w:t>-</w:t>
            </w:r>
          </w:p>
        </w:tc>
        <w:tc>
          <w:tcPr>
            <w:tcW w:type="dxa" w:w="3969"/>
          </w:tcPr>
          <w:p>
            <w:pPr>
              <w:spacing w:after="20"/>
            </w:pPr>
            <w:r>
              <w:rPr>
                <w:b w:val="0"/>
                <w:i w:val="0"/>
              </w:rPr>
              <w:t>Standard laboratory requirement.</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First Aid Measures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701"/>
        <w:gridCol w:w="8504"/>
      </w:tblGrid>
      <w:tr>
        <w:tc>
          <w:tcPr>
            <w:tcW w:type="dxa" w:w="1701"/>
          </w:tcPr>
          <w:p>
            <w:pPr>
              <w:spacing w:after="20"/>
            </w:pPr>
            <w:r>
              <w:rPr>
                <w:b/>
                <w:i w:val="0"/>
              </w:rPr>
              <w:t>Inhalation</w:t>
            </w:r>
          </w:p>
        </w:tc>
        <w:tc>
          <w:tcPr>
            <w:tcW w:type="dxa" w:w="8504"/>
          </w:tcPr>
          <w:p>
            <w:pPr>
              <w:spacing w:after="20"/>
            </w:pPr>
            <w:r>
              <w:rPr>
                <w:b w:val="0"/>
                <w:i w:val="0"/>
              </w:rPr>
              <w:t>Fresh air, rest. Half-upright position. Artificial respiration may be needed. Refer immediately for medical attention.</w:t>
            </w:r>
          </w:p>
        </w:tc>
      </w:tr>
      <w:tr>
        <w:tc>
          <w:tcPr>
            <w:tcW w:type="dxa" w:w="1701"/>
          </w:tcPr>
          <w:p>
            <w:pPr>
              <w:spacing w:after="20"/>
            </w:pPr>
            <w:r>
              <w:rPr>
                <w:b/>
                <w:i w:val="0"/>
              </w:rPr>
              <w:t>Skin</w:t>
            </w:r>
          </w:p>
        </w:tc>
        <w:tc>
          <w:tcPr>
            <w:tcW w:type="dxa" w:w="8504"/>
          </w:tcPr>
          <w:p>
            <w:pPr>
              <w:spacing w:after="20"/>
            </w:pPr>
            <w:r>
              <w:rPr>
                <w:b w:val="0"/>
                <w:i w:val="0"/>
              </w:rPr>
              <w:t>Wear protective gloves when administering first aid. First rinse with plenty of water for at least 15 minutes, then remove contaminated clothes and rinse again. Refer immediately for medical attention.</w:t>
            </w:r>
          </w:p>
        </w:tc>
      </w:tr>
      <w:tr>
        <w:tc>
          <w:tcPr>
            <w:tcW w:type="dxa" w:w="1701"/>
          </w:tcPr>
          <w:p>
            <w:pPr>
              <w:spacing w:after="20"/>
            </w:pPr>
            <w:r>
              <w:rPr>
                <w:b/>
                <w:i w:val="0"/>
              </w:rPr>
              <w:t>Eyes</w:t>
            </w:r>
          </w:p>
        </w:tc>
        <w:tc>
          <w:tcPr>
            <w:tcW w:type="dxa" w:w="8504"/>
          </w:tcPr>
          <w:p>
            <w:pPr>
              <w:spacing w:after="20"/>
            </w:pPr>
            <w:r>
              <w:rPr>
                <w:b w:val="0"/>
                <w:i w:val="0"/>
              </w:rPr>
              <w:t>Rinse with plenty of water for several minutes (remove contact lenses if easily possible). Refer immediately for medical attention.</w:t>
            </w:r>
          </w:p>
        </w:tc>
      </w:tr>
      <w:tr>
        <w:tc>
          <w:tcPr>
            <w:tcW w:type="dxa" w:w="1701"/>
          </w:tcPr>
          <w:p>
            <w:pPr>
              <w:spacing w:after="20"/>
            </w:pPr>
            <w:r>
              <w:rPr>
                <w:b/>
                <w:i w:val="0"/>
              </w:rPr>
              <w:t>Ingestion</w:t>
            </w:r>
          </w:p>
        </w:tc>
        <w:tc>
          <w:tcPr>
            <w:tcW w:type="dxa" w:w="8504"/>
          </w:tcPr>
          <w:p>
            <w:pPr>
              <w:spacing w:after="20"/>
            </w:pPr>
            <w:r>
              <w:rPr>
                <w:b w:val="0"/>
                <w:i w:val="0"/>
              </w:rPr>
              <w:t>Rinse mouth. Give nothing to drink. Do NOT induce vomiting. Refer immediately for medical attention.</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Fire Fighting</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Suitable extinguishing media: Use water spray, alcohol-resistant foam, dry chemical, or carbon dioxide.</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Storage and Incompatibilities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Dry. Separated from food and feedstuffs and incompatible materials. See Chemical Dangers. Store only in original packaging. Incompatible materials: Bases, halides, organic materials, carbides, fulminates, nitrates, picrates, cyanides, chlorates, alkali halides, zinc salts, permanganates, e.g. potassium permanganate, hydrogen peroxide, azides, perchlorates, nitromethane, phosphorous; Reacts violently with: cyclopentadiene, cyclopentanone oxime, nitroaryl amines, hexalithium disilicide, phosphorous(iii) oxide, powdered metals.</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Spillage / Accidental Release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Evacuate danger area! Consult an expert! Personal protection: chemical protection suit including self-contained breathing apparatus. Do NOT let this chemical enter the environment. Do NOT absorb in saw-dust or other combustible absorbents. Collect leaking liquid in sealable containers. Absorb remaining liquid in dry sand or inert absorbent. Then store and dispose of according to local regulations. Cautiously neutralize remainder with lime or …</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Waste Disposal</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Dispose of as chemical waste according to local regulations and the laboratory waste procedure (P501). Do not pour down the drain unless permitted.</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Physical and Chemical Properties</w:t>
            </w:r>
            <w:r>
              <w:rPr>
                <w:b/>
                <w:i/>
              </w:rPr>
              <w:t xml:space="preserve"> (for reference)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7654"/>
      </w:tblGrid>
      <w:tr>
        <w:tc>
          <w:tcPr>
            <w:tcW w:type="dxa" w:w="2551"/>
          </w:tcPr>
          <w:p>
            <w:pPr>
              <w:spacing w:after="20"/>
            </w:pPr>
            <w:r>
              <w:rPr>
                <w:b/>
                <w:i w:val="0"/>
              </w:rPr>
              <w:t>Molecular formula</w:t>
            </w:r>
          </w:p>
        </w:tc>
        <w:tc>
          <w:tcPr>
            <w:tcW w:type="dxa" w:w="7654"/>
          </w:tcPr>
          <w:p>
            <w:pPr>
              <w:spacing w:after="20"/>
            </w:pPr>
            <w:r>
              <w:rPr>
                <w:b w:val="0"/>
                <w:i w:val="0"/>
              </w:rPr>
              <w:t>H2O4S</w:t>
            </w:r>
          </w:p>
        </w:tc>
      </w:tr>
      <w:tr>
        <w:tc>
          <w:tcPr>
            <w:tcW w:type="dxa" w:w="2551"/>
          </w:tcPr>
          <w:p>
            <w:pPr>
              <w:spacing w:after="20"/>
            </w:pPr>
            <w:r>
              <w:rPr>
                <w:b/>
                <w:i w:val="0"/>
              </w:rPr>
              <w:t>Molar mass</w:t>
            </w:r>
          </w:p>
        </w:tc>
        <w:tc>
          <w:tcPr>
            <w:tcW w:type="dxa" w:w="7654"/>
          </w:tcPr>
          <w:p>
            <w:pPr>
              <w:spacing w:after="20"/>
            </w:pPr>
            <w:r>
              <w:rPr>
                <w:b w:val="0"/>
                <w:i w:val="0"/>
              </w:rPr>
              <w:t>98.08 g/mol</w:t>
            </w:r>
          </w:p>
        </w:tc>
      </w:tr>
      <w:tr>
        <w:tc>
          <w:tcPr>
            <w:tcW w:type="dxa" w:w="2551"/>
          </w:tcPr>
          <w:p>
            <w:pPr>
              <w:spacing w:after="20"/>
            </w:pPr>
            <w:r>
              <w:rPr>
                <w:b/>
                <w:i w:val="0"/>
              </w:rPr>
              <w:t>State at 20 °C</w:t>
            </w:r>
          </w:p>
        </w:tc>
        <w:tc>
          <w:tcPr>
            <w:tcW w:type="dxa" w:w="7654"/>
          </w:tcPr>
          <w:p>
            <w:pPr>
              <w:spacing w:after="20"/>
            </w:pPr>
            <w:r>
              <w:rPr>
                <w:b w:val="0"/>
                <w:i w:val="0"/>
              </w:rPr>
              <w:t>liquid</w:t>
            </w:r>
          </w:p>
        </w:tc>
      </w:tr>
      <w:tr>
        <w:tc>
          <w:tcPr>
            <w:tcW w:type="dxa" w:w="2551"/>
          </w:tcPr>
          <w:p>
            <w:pPr>
              <w:spacing w:after="20"/>
            </w:pPr>
            <w:r>
              <w:rPr>
                <w:b/>
                <w:i w:val="0"/>
              </w:rPr>
              <w:t>Melting point</w:t>
            </w:r>
          </w:p>
        </w:tc>
        <w:tc>
          <w:tcPr>
            <w:tcW w:type="dxa" w:w="7654"/>
          </w:tcPr>
          <w:p>
            <w:pPr>
              <w:spacing w:after="20"/>
            </w:pPr>
            <w:r>
              <w:rPr>
                <w:b w:val="0"/>
                <w:i w:val="0"/>
              </w:rPr>
              <w:t>10.31 °C (Hazardous Substances Data Bank (HSDB))</w:t>
            </w:r>
          </w:p>
        </w:tc>
      </w:tr>
      <w:tr>
        <w:tc>
          <w:tcPr>
            <w:tcW w:type="dxa" w:w="2551"/>
          </w:tcPr>
          <w:p>
            <w:pPr>
              <w:spacing w:after="20"/>
            </w:pPr>
            <w:r>
              <w:rPr>
                <w:b/>
                <w:i w:val="0"/>
              </w:rPr>
              <w:t>Boiling point</w:t>
            </w:r>
          </w:p>
        </w:tc>
        <w:tc>
          <w:tcPr>
            <w:tcW w:type="dxa" w:w="7654"/>
          </w:tcPr>
          <w:p>
            <w:pPr>
              <w:spacing w:after="20"/>
            </w:pPr>
            <w:r>
              <w:rPr>
                <w:b w:val="0"/>
                <w:i w:val="0"/>
              </w:rPr>
              <w:t>337 °C (Hazardous Substances Data Bank (HSDB))</w:t>
            </w:r>
          </w:p>
        </w:tc>
      </w:tr>
      <w:tr>
        <w:tc>
          <w:tcPr>
            <w:tcW w:type="dxa" w:w="2551"/>
          </w:tcPr>
          <w:p>
            <w:pPr>
              <w:spacing w:after="20"/>
            </w:pPr>
            <w:r>
              <w:rPr>
                <w:b/>
                <w:i w:val="0"/>
              </w:rPr>
              <w:t>Density</w:t>
            </w:r>
          </w:p>
        </w:tc>
        <w:tc>
          <w:tcPr>
            <w:tcW w:type="dxa" w:w="7654"/>
          </w:tcPr>
          <w:p>
            <w:pPr>
              <w:spacing w:after="20"/>
            </w:pPr>
            <w:r>
              <w:rPr>
                <w:b w:val="0"/>
                <w:i w:val="0"/>
              </w:rPr>
              <w:t>1.8302 g/cu cm (Hazardous Substances Data Bank (HSDB))</w:t>
            </w:r>
          </w:p>
        </w:tc>
      </w:tr>
      <w:tr>
        <w:tc>
          <w:tcPr>
            <w:tcW w:type="dxa" w:w="2551"/>
          </w:tcPr>
          <w:p>
            <w:pPr>
              <w:spacing w:after="20"/>
            </w:pPr>
            <w:r>
              <w:rPr>
                <w:b/>
                <w:i w:val="0"/>
              </w:rPr>
              <w:t>Solubility in water</w:t>
            </w:r>
          </w:p>
        </w:tc>
        <w:tc>
          <w:tcPr>
            <w:tcW w:type="dxa" w:w="7654"/>
          </w:tcPr>
          <w:p>
            <w:pPr>
              <w:spacing w:after="20"/>
            </w:pPr>
            <w:r>
              <w:rPr>
                <w:b w:val="0"/>
                <w:i w:val="0"/>
              </w:rPr>
              <w:t>Solubility in water at 20 °C: miscible (ILO-WHO International Chemical Safety Cards (ICSCs))</w:t>
            </w:r>
          </w:p>
        </w:tc>
      </w:tr>
      <w:tr>
        <w:tc>
          <w:tcPr>
            <w:tcW w:type="dxa" w:w="2551"/>
          </w:tcPr>
          <w:p>
            <w:pPr>
              <w:spacing w:after="20"/>
            </w:pPr>
            <w:r>
              <w:rPr>
                <w:b/>
                <w:i w:val="0"/>
              </w:rPr>
              <w:t>Vapour pressure</w:t>
            </w:r>
          </w:p>
        </w:tc>
        <w:tc>
          <w:tcPr>
            <w:tcW w:type="dxa" w:w="7654"/>
          </w:tcPr>
          <w:p>
            <w:pPr>
              <w:spacing w:after="20"/>
            </w:pPr>
            <w:r>
              <w:rPr>
                <w:b w:val="0"/>
                <w:i w:val="0"/>
              </w:rPr>
              <w:t>Vapor pressure: 1 mm Hg at 145.8 °C (Hazardous Substances Data Bank (HSDB))</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Risk Rating</w:t>
            </w:r>
            <w:r>
              <w:rPr>
                <w:b/>
                <w:i/>
              </w:rPr>
              <w:t xml:space="preserve"> (with the control measures above in place)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3402"/>
        <w:gridCol w:w="3402"/>
        <w:gridCol w:w="3402"/>
      </w:tblGrid>
      <w:tr>
        <w:tc>
          <w:tcPr>
            <w:tcW w:type="dxa" w:w="3402"/>
          </w:tcPr>
          <w:p>
            <w:pPr>
              <w:spacing w:after="20"/>
            </w:pPr>
            <w:r>
              <w:rPr>
                <w:b/>
                <w:i w:val="0"/>
              </w:rPr>
              <w:t>Severity (1–3)</w:t>
            </w:r>
          </w:p>
        </w:tc>
        <w:tc>
          <w:tcPr>
            <w:tcW w:type="dxa" w:w="3402"/>
          </w:tcPr>
          <w:p>
            <w:pPr>
              <w:spacing w:after="20"/>
            </w:pPr>
            <w:r>
              <w:rPr>
                <w:b/>
                <w:i w:val="0"/>
              </w:rPr>
              <w:t>Likelihood (1–3)</w:t>
            </w:r>
          </w:p>
        </w:tc>
        <w:tc>
          <w:tcPr>
            <w:tcW w:type="dxa" w:w="3402"/>
          </w:tcPr>
          <w:p>
            <w:pPr>
              <w:spacing w:after="20"/>
            </w:pPr>
            <w:r>
              <w:rPr>
                <w:b/>
                <w:i w:val="0"/>
              </w:rPr>
              <w:t>Risk = Severity × Likelihood</w:t>
            </w:r>
          </w:p>
        </w:tc>
      </w:tr>
      <w:tr>
        <w:tc>
          <w:tcPr>
            <w:tcW w:type="dxa" w:w="3402"/>
          </w:tcPr>
          <w:p>
            <w:pPr>
              <w:spacing w:after="20"/>
            </w:pPr>
            <w:r>
              <w:rPr>
                <w:b w:val="0"/>
                <w:i w:val="0"/>
              </w:rPr>
              <w:t>3 – High</w:t>
            </w:r>
          </w:p>
        </w:tc>
        <w:tc>
          <w:tcPr>
            <w:tcW w:type="dxa" w:w="3402"/>
          </w:tcPr>
          <w:p>
            <w:pPr>
              <w:spacing w:after="20"/>
            </w:pPr>
            <w:r>
              <w:rPr>
                <w:b w:val="0"/>
                <w:i w:val="0"/>
              </w:rPr>
              <w:t>1 – Unlikely</w:t>
            </w:r>
          </w:p>
        </w:tc>
        <w:tc>
          <w:tcPr>
            <w:tcW w:type="dxa" w:w="3402"/>
          </w:tcPr>
          <w:p>
            <w:pPr>
              <w:spacing w:after="20"/>
            </w:pPr>
            <w:r>
              <w:rPr>
                <w:b/>
                <w:i w:val="0"/>
              </w:rPr>
              <w:t>3 – MEDIUM</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Assessment</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2551"/>
        <w:gridCol w:w="2551"/>
        <w:gridCol w:w="2551"/>
      </w:tblGrid>
      <w:tr>
        <w:tc>
          <w:tcPr>
            <w:tcW w:type="dxa" w:w="2551"/>
          </w:tcPr>
          <w:p>
            <w:pPr>
              <w:spacing w:after="20"/>
            </w:pPr>
            <w:r>
              <w:rPr>
                <w:b/>
                <w:i w:val="0"/>
              </w:rPr>
              <w:t>Assessed by</w:t>
            </w:r>
          </w:p>
        </w:tc>
        <w:tc>
          <w:tcPr>
            <w:tcW w:type="dxa" w:w="2551"/>
          </w:tcPr>
          <w:p>
            <w:pPr>
              <w:spacing w:after="20"/>
            </w:pPr>
            <w:r>
              <w:rPr>
                <w:b/>
                <w:i w:val="0"/>
              </w:rPr>
              <w:t>Date</w:t>
            </w:r>
          </w:p>
        </w:tc>
        <w:tc>
          <w:tcPr>
            <w:tcW w:type="dxa" w:w="2551"/>
          </w:tcPr>
          <w:p>
            <w:pPr>
              <w:spacing w:after="20"/>
            </w:pPr>
            <w:r>
              <w:rPr>
                <w:b/>
                <w:i w:val="0"/>
              </w:rPr>
              <w:t>Review date</w:t>
            </w:r>
          </w:p>
        </w:tc>
        <w:tc>
          <w:tcPr>
            <w:tcW w:type="dxa" w:w="2551"/>
          </w:tcPr>
          <w:p>
            <w:pPr>
              <w:spacing w:after="20"/>
            </w:pPr>
            <w:r>
              <w:rPr>
                <w:b/>
                <w:i w:val="0"/>
              </w:rPr>
              <w:t>Signature</w:t>
            </w:r>
          </w:p>
        </w:tc>
      </w:tr>
      <w:tr>
        <w:tc>
          <w:tcPr>
            <w:tcW w:type="dxa" w:w="2551"/>
          </w:tcPr>
          <w:p>
            <w:pPr>
              <w:spacing w:after="20"/>
            </w:pPr>
            <w:r>
              <w:rPr>
                <w:b w:val="0"/>
                <w:i w:val="0"/>
              </w:rPr>
            </w:r>
          </w:p>
        </w:tc>
        <w:tc>
          <w:tcPr>
            <w:tcW w:type="dxa" w:w="2551"/>
          </w:tcPr>
          <w:p>
            <w:pPr>
              <w:spacing w:after="20"/>
            </w:pPr>
            <w:r>
              <w:rPr>
                <w:b w:val="0"/>
                <w:i w:val="0"/>
              </w:rPr>
              <w:t>28-10-2026</w:t>
            </w:r>
          </w:p>
        </w:tc>
        <w:tc>
          <w:tcPr>
            <w:tcW w:type="dxa" w:w="2551"/>
          </w:tcPr>
          <w:p>
            <w:pPr>
              <w:spacing w:after="20"/>
            </w:pPr>
            <w:r>
              <w:rPr>
                <w:b w:val="0"/>
                <w:i w:val="0"/>
              </w:rPr>
              <w:t>28-10-2027</w:t>
            </w:r>
          </w:p>
        </w:tc>
        <w:tc>
          <w:tcPr>
            <w:tcW w:type="dxa" w:w="2551"/>
          </w:tcPr>
          <w:p>
            <w:pPr>
              <w:spacing w:after="20"/>
            </w:pPr>
            <w:r>
              <w:rPr>
                <w:b w:val="0"/>
                <w:i w:val="0"/>
              </w:rPr>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Sources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color w:val="333333"/>
                <w:sz w:val="16"/>
              </w:rPr>
              <w:t>• PubChem CID 1118 – https://pubchem.ncbi.nlm.nih.gov/compound/1118</w:t>
            </w:r>
          </w:p>
          <w:p>
            <w:pPr>
              <w:spacing w:after="20"/>
            </w:pPr>
            <w:r>
              <w:rPr>
                <w:b w:val="0"/>
                <w:i w:val="0"/>
                <w:color w:val="333333"/>
                <w:sz w:val="16"/>
              </w:rPr>
              <w:t>• GHS classification: Regulation (EC) No 1272/2008 of the European Parliament and of the Council – https://eur-lex.europa.eu/eli/reg/2008/1272/oj</w:t>
            </w:r>
          </w:p>
          <w:p>
            <w:pPr>
              <w:spacing w:after="20"/>
            </w:pPr>
            <w:r>
              <w:rPr>
                <w:b w:val="0"/>
                <w:i w:val="0"/>
                <w:color w:val="333333"/>
                <w:sz w:val="16"/>
              </w:rPr>
              <w:t>• ILO-WHO International Chemical Safety Cards (ICSCs) – https://chemicalsafety.ilo.org/dyn/icsc/showcard.display?p_card_id=0362</w:t>
            </w:r>
          </w:p>
          <w:p>
            <w:pPr>
              <w:spacing w:after="20"/>
            </w:pPr>
            <w:r>
              <w:rPr>
                <w:b w:val="0"/>
                <w:i w:val="0"/>
                <w:color w:val="333333"/>
                <w:sz w:val="16"/>
              </w:rPr>
              <w:t>• Hazardous Substances Data Bank (HSDB) – https://pubchem.ncbi.nlm.nih.gov/source/hsdb/1811</w:t>
            </w:r>
          </w:p>
          <w:p>
            <w:pPr>
              <w:spacing w:after="20"/>
            </w:pPr>
            <w:r>
              <w:rPr>
                <w:b w:val="0"/>
                <w:i w:val="0"/>
                <w:color w:val="333333"/>
                <w:sz w:val="16"/>
              </w:rPr>
              <w:t>• Occupational Safety and Health Administration (OSHA) – https://www.osha.gov/chemicaldata/624</w:t>
            </w:r>
          </w:p>
          <w:p>
            <w:pPr>
              <w:spacing w:after="20"/>
            </w:pPr>
            <w:r>
              <w:rPr>
                <w:b w:val="0"/>
                <w:i w:val="0"/>
                <w:color w:val="333333"/>
                <w:sz w:val="16"/>
              </w:rPr>
              <w:t>• Haz-Map, Information on Hazardous Chemicals and Occupational Diseases</w:t>
            </w:r>
          </w:p>
          <w:p>
            <w:pPr>
              <w:spacing w:after="20"/>
            </w:pPr>
            <w:r>
              <w:rPr>
                <w:b w:val="0"/>
                <w:i w:val="0"/>
                <w:color w:val="333333"/>
                <w:sz w:val="16"/>
              </w:rPr>
              <w:t>• CAMEO Chemicals – https://cameochemicals.noaa.gov/chemical/5193</w:t>
            </w:r>
          </w:p>
          <w:p>
            <w:pPr>
              <w:spacing w:after="20"/>
            </w:pPr>
            <w:r>
              <w:rPr>
                <w:b w:val="0"/>
                <w:i w:val="0"/>
                <w:color w:val="333333"/>
                <w:sz w:val="16"/>
              </w:rPr>
              <w:t>• GHS hazard and precautionary statement texts (UN GHS Rev. 10, via PubChem) – https://pubchem.ncbi.nlm.nih.gov/ghs/</w:t>
            </w:r>
          </w:p>
          <w:p>
            <w:pPr>
              <w:spacing w:after="20"/>
            </w:pPr>
            <w:r>
              <w:rPr>
                <w:b w:val="0"/>
                <w:i/>
                <w:sz w:val="16"/>
              </w:rPr>
              <w:t>Generated with Molecuul-uitlegger from public PubChem data. Always verify against the current supplier Safety Data Sheet (SDS) before starting the experiment.</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