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48"/>
          <w:szCs w:val="48"/>
        </w:rPr>
        <w:t xml:space="preserve">U.S. Real Estate Market Analysis</w:t>
      </w:r>
    </w:p>
    <w:p>
      <w:pPr>
        <w:spacing w:after="200"/>
        <w:jc w:val="center"/>
      </w:pPr>
      <w:r>
        <w:rPr>
          <w:rFonts w:ascii="Arial" w:cs="Arial" w:eastAsia="Arial" w:hAnsi="Arial"/>
          <w:color w:val="2E75B6"/>
          <w:sz w:val="28"/>
          <w:szCs w:val="28"/>
        </w:rPr>
        <w:t xml:space="preserve">BIS 470 Capstone Project</w:t>
      </w:r>
    </w:p>
    <w:p>
      <w:pPr>
        <w:spacing w:after="40"/>
        <w:jc w:val="center"/>
      </w:pPr>
      <w:r>
        <w:rPr>
          <w:rFonts w:ascii="Arial" w:cs="Arial" w:eastAsia="Arial" w:hAnsi="Arial"/>
          <w:b/>
          <w:bCs/>
          <w:sz w:val="24"/>
          <w:szCs w:val="24"/>
        </w:rPr>
        <w:t xml:space="preserve">Noah Lopez</w:t>
      </w:r>
    </w:p>
    <w:p>
      <w:pPr>
        <w:spacing w:after="40"/>
        <w:jc w:val="center"/>
      </w:pPr>
      <w:r>
        <w:rPr>
          <w:rFonts w:ascii="Arial" w:cs="Arial" w:eastAsia="Arial" w:hAnsi="Arial"/>
          <w:sz w:val="22"/>
          <w:szCs w:val="22"/>
        </w:rPr>
        <w:t xml:space="preserve">Southern Connecticut State University</w:t>
      </w:r>
    </w:p>
    <w:p>
      <w:pPr>
        <w:spacing w:after="40"/>
        <w:jc w:val="center"/>
      </w:pPr>
      <w:r>
        <w:rPr>
          <w:rFonts w:ascii="Arial" w:cs="Arial" w:eastAsia="Arial" w:hAnsi="Arial"/>
          <w:color w:val="666666"/>
          <w:sz w:val="20"/>
          <w:szCs w:val="20"/>
        </w:rPr>
        <w:t xml:space="preserve">Tools: SQL Server Management Studio 20 | Microsoft Power BI Desktop</w:t>
      </w:r>
    </w:p>
    <w:p>
      <w:pPr>
        <w:spacing w:after="240"/>
        <w:jc w:val="center"/>
      </w:pPr>
      <w:r>
        <w:rPr>
          <w:rFonts w:ascii="Arial" w:cs="Arial" w:eastAsia="Arial" w:hAnsi="Arial"/>
          <w:color w:val="666666"/>
          <w:sz w:val="20"/>
          <w:szCs w:val="20"/>
        </w:rPr>
        <w:t xml:space="preserve">Data Source: Realtor.com (realtor-data.csv)</w:t>
      </w:r>
    </w:p>
    <w:p>
      <w:pPr>
        <w:pStyle w:val="Heading1"/>
        <w:spacing w:after="140" w:before="320"/>
      </w:pPr>
      <w:r>
        <w:rPr>
          <w:rFonts w:ascii="Arial" w:cs="Arial" w:eastAsia="Arial" w:hAnsi="Arial"/>
          <w:b/>
          <w:bCs/>
          <w:color w:val="1F3864"/>
          <w:sz w:val="30"/>
          <w:szCs w:val="30"/>
        </w:rPr>
        <w:t xml:space="preserve">Section 1: Introduction</w:t>
      </w:r>
    </w:p>
    <w:p>
      <w:pPr>
        <w:spacing w:after="120" w:before="60" w:line="276"/>
      </w:pPr>
      <w:r>
        <w:rPr>
          <w:rFonts w:ascii="Arial" w:cs="Arial" w:eastAsia="Arial" w:hAnsi="Arial"/>
          <w:sz w:val="22"/>
          <w:szCs w:val="22"/>
        </w:rPr>
        <w:t xml:space="preserve">This report presents a comprehensive analysis of the U.S. real estate market using a dataset of 2,226,382 property listings from Realtor.com. The analysis was conducted for BIS 470 using Microsoft SQL Server Management Studio 20 for data storage and cleaning, and Microsoft Power BI Desktop for visualization. The dataset was loaded into a local SQL Server database, cleaned using structured query language, and connected to Power BI for analysis across eight dashboard tabs.</w:t>
      </w:r>
    </w:p>
    <w:p>
      <w:pPr>
        <w:spacing w:after="120" w:before="60" w:line="276"/>
      </w:pPr>
      <w:r>
        <w:rPr>
          <w:rFonts w:ascii="Arial" w:cs="Arial" w:eastAsia="Arial" w:hAnsi="Arial"/>
          <w:sz w:val="22"/>
          <w:szCs w:val="22"/>
        </w:rPr>
        <w:t xml:space="preserve">The dataset includes both active listings and recently sold properties. Price figures reflect both listing prices and final sale prices as provided in the source data. The analysis covers all five required questions, including median vs average price, price by location, price drivers, correlations between characteristics, and a detailed Florida market analysis. Additional statistical analysis, including single-variable and multiple linear regression, IQR-based outlier detection, and predictive modeling, was performed to provide deeper analytical rigor.</w:t>
      </w:r>
    </w:p>
    <w:p>
      <w:pPr>
        <w:pStyle w:val="Heading1"/>
        <w:spacing w:after="140" w:before="320"/>
      </w:pPr>
      <w:r>
        <w:rPr>
          <w:rFonts w:ascii="Arial" w:cs="Arial" w:eastAsia="Arial" w:hAnsi="Arial"/>
          <w:b/>
          <w:bCs/>
          <w:color w:val="1F3864"/>
          <w:sz w:val="30"/>
          <w:szCs w:val="30"/>
        </w:rPr>
        <w:t xml:space="preserve">Section 2: Data Cleaning</w:t>
      </w:r>
    </w:p>
    <w:p>
      <w:pPr>
        <w:pStyle w:val="Heading2"/>
        <w:spacing w:after="100" w:before="240"/>
      </w:pPr>
      <w:r>
        <w:rPr>
          <w:rFonts w:ascii="Arial" w:cs="Arial" w:eastAsia="Arial" w:hAnsi="Arial"/>
          <w:b/>
          <w:bCs/>
          <w:color w:val="2E75B6"/>
          <w:sz w:val="26"/>
          <w:szCs w:val="26"/>
        </w:rPr>
        <w:t xml:space="preserve">2.1 Dataset Overview</w:t>
      </w:r>
    </w:p>
    <w:p>
      <w:pPr>
        <w:spacing w:after="120" w:before="60" w:line="276"/>
      </w:pPr>
      <w:r>
        <w:rPr>
          <w:rFonts w:ascii="Arial" w:cs="Arial" w:eastAsia="Arial" w:hAnsi="Arial"/>
          <w:sz w:val="22"/>
          <w:szCs w:val="22"/>
        </w:rPr>
        <w:t xml:space="preserve">The source dataset contains 2,226,382 records and 12 variables including price, bed, bath, acre_lot, house_size, city, state, zip_code, status, brokered_by, street, and prev_sold_date. Note that prev_sold_date represents the date the property was previously sold, not the current listing date.</w:t>
      </w:r>
    </w:p>
    <w:p>
      <w:pPr>
        <w:pStyle w:val="Heading2"/>
        <w:spacing w:after="100" w:before="240"/>
      </w:pPr>
      <w:r>
        <w:rPr>
          <w:rFonts w:ascii="Arial" w:cs="Arial" w:eastAsia="Arial" w:hAnsi="Arial"/>
          <w:b/>
          <w:bCs/>
          <w:color w:val="2E75B6"/>
          <w:sz w:val="26"/>
          <w:szCs w:val="26"/>
        </w:rPr>
        <w:t xml:space="preserve">2.2 Loading Method</w:t>
      </w:r>
    </w:p>
    <w:p>
      <w:pPr>
        <w:spacing w:after="120" w:before="60" w:line="276"/>
      </w:pPr>
      <w:r>
        <w:rPr>
          <w:rFonts w:ascii="Arial" w:cs="Arial" w:eastAsia="Arial" w:hAnsi="Arial"/>
          <w:sz w:val="22"/>
          <w:szCs w:val="22"/>
        </w:rPr>
        <w:t xml:space="preserve">The CSV file was moved from OneDrive to a local directory (C:\SQLData\Dataset\) to avoid SQL Server permission errors with synced cloud paths. The BULK INSERT command was used to load all records into a staging table named dbo.realtor_raw. Data types were set carefully — zip_code as NVARCHAR to preserve leading zeros, bed and bath as FLOAT to handle decimal and outlier values, and prev_sold_date as NVARCHAR(50) for inconsistent date formats.</w:t>
      </w:r>
    </w:p>
    <w:p>
      <w:pPr>
        <w:pStyle w:val="Heading2"/>
        <w:spacing w:after="100" w:before="240"/>
      </w:pPr>
      <w:r>
        <w:rPr>
          <w:rFonts w:ascii="Arial" w:cs="Arial" w:eastAsia="Arial" w:hAnsi="Arial"/>
          <w:b/>
          <w:bCs/>
          <w:color w:val="2E75B6"/>
          <w:sz w:val="26"/>
          <w:szCs w:val="26"/>
        </w:rPr>
        <w:t xml:space="preserve">2.3 Cleaning Audit</w:t>
      </w:r>
    </w:p>
    <w:p>
      <w:pPr>
        <w:spacing w:after="120" w:before="60" w:line="276"/>
      </w:pPr>
      <w:r>
        <w:rPr>
          <w:rFonts w:ascii="Arial" w:cs="Arial" w:eastAsia="Arial" w:hAnsi="Arial"/>
          <w:sz w:val="22"/>
          <w:szCs w:val="22"/>
        </w:rPr>
        <w:t xml:space="preserve">Each issue was identified and quantified before applying the final cleaning logic. Note that categories overlap; a single record may have multiple issues simultaneously, which is why individual counts cannot be summed to produce the total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Issue Identified</w:t>
            </w:r>
          </w:p>
        </w:tc>
        <w:tc>
          <w:tcPr>
            <w:tcW w:type="dxa" w:w="3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Records Affected</w:t>
            </w:r>
          </w:p>
        </w:tc>
      </w:tr>
      <w:tr>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NULL price values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1,541</w:t>
            </w:r>
          </w:p>
        </w:tc>
      </w:tr>
      <w:tr>
        <w:tc>
          <w:tcPr>
            <w:tcW w:type="dxa" w:w="63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Zero or negative price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280</w:t>
            </w:r>
          </w:p>
        </w:tc>
      </w:tr>
      <w:tr>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Price above $50,000,000 (initial outlier filter)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130</w:t>
            </w:r>
          </w:p>
        </w:tc>
      </w:tr>
      <w:tr>
        <w:tc>
          <w:tcPr>
            <w:tcW w:type="dxa" w:w="63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NULL or zero bedrooms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481,317</w:t>
            </w:r>
          </w:p>
        </w:tc>
      </w:tr>
      <w:tr>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NULL or zero bathrooms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511,771</w:t>
            </w:r>
          </w:p>
        </w:tc>
      </w:tr>
      <w:tr>
        <w:tc>
          <w:tcPr>
            <w:tcW w:type="dxa" w:w="63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Bedrooms above 20</w:t>
            </w:r>
          </w:p>
        </w:tc>
        <w:tc>
          <w:tcPr>
            <w:tcW w:type="dxa" w:w="3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725</w:t>
            </w:r>
          </w:p>
        </w:tc>
      </w:tr>
      <w:tr>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Bathrooms above 20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401</w:t>
            </w:r>
          </w:p>
        </w:tc>
      </w:tr>
      <w:tr>
        <w:tc>
          <w:tcPr>
            <w:tcW w:type="dxa" w:w="63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NULL or zero house size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568,484</w:t>
            </w:r>
          </w:p>
        </w:tc>
      </w:tr>
      <w:tr>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NULL or blank state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8</w:t>
            </w:r>
          </w:p>
        </w:tc>
      </w:tr>
      <w:tr>
        <w:tc>
          <w:tcPr>
            <w:tcW w:type="dxa" w:w="63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Duplicate rows removed</w:t>
            </w:r>
          </w:p>
        </w:tc>
        <w:tc>
          <w:tcPr>
            <w:tcW w:type="dxa" w:w="3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170,575</w:t>
            </w:r>
          </w:p>
        </w:tc>
      </w:tr>
      <w:tr>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Total raw records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2,226,382</w:t>
            </w:r>
          </w:p>
        </w:tc>
      </w:tr>
      <w:tr>
        <w:tc>
          <w:tcPr>
            <w:tcW w:type="dxa" w:w="63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Total clean records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1,481,944</w:t>
            </w:r>
          </w:p>
        </w:tc>
      </w:tr>
      <w:tr>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Net records removed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744,438 (33.4%)</w:t>
            </w:r>
          </w:p>
        </w:tc>
      </w:tr>
    </w:tbl>
    <w:p>
      <w:pPr>
        <w:spacing w:after="40" w:before="40"/>
      </w:pPr>
    </w:p>
    <w:p>
      <w:pPr>
        <w:spacing w:after="120" w:before="60" w:line="276"/>
      </w:pPr>
      <w:r>
        <w:rPr>
          <w:rFonts w:ascii="Arial" w:cs="Arial" w:eastAsia="Arial" w:hAnsi="Arial"/>
          <w:sz w:val="22"/>
          <w:szCs w:val="22"/>
        </w:rPr>
        <w:t xml:space="preserve">The high counts for null bedrooms, bathrooms, and house size reflect land-only or ready-to-build listings with no constructed structure. These records are not useful for analyzing house price relationships and were correctly excluded. Duplicate records were identified using a ROW_NUMBER() window function partitioned by brokered_by, price, bed, bath, house_size, city, state, and zip_code. Only the first occurrence of each group was retained.</w:t>
      </w:r>
    </w:p>
    <w:p>
      <w:pPr>
        <w:pStyle w:val="Heading2"/>
        <w:spacing w:after="100" w:before="240"/>
      </w:pPr>
      <w:r>
        <w:rPr>
          <w:rFonts w:ascii="Arial" w:cs="Arial" w:eastAsia="Arial" w:hAnsi="Arial"/>
          <w:b/>
          <w:bCs/>
          <w:color w:val="2E75B6"/>
          <w:sz w:val="26"/>
          <w:szCs w:val="26"/>
        </w:rPr>
        <w:t xml:space="preserve">2.4 IQR-Based Outlier Analysis</w:t>
      </w:r>
    </w:p>
    <w:p>
      <w:pPr>
        <w:spacing w:after="120" w:before="60" w:line="276"/>
      </w:pPr>
      <w:r>
        <w:rPr>
          <w:rFonts w:ascii="Arial" w:cs="Arial" w:eastAsia="Arial" w:hAnsi="Arial"/>
          <w:sz w:val="22"/>
          <w:szCs w:val="22"/>
        </w:rPr>
        <w:t xml:space="preserve">For regression and predictive modeling purposes, a more rigorous outlier removal method was applied using the Interquartile Range (IQR) method. The IQR upper fence is calculated as Q3 + 1.5 × IQR.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Variable</w:t>
            </w:r>
          </w:p>
        </w:tc>
        <w:tc>
          <w:tcPr>
            <w:tcW w:type="dxa" w:w="1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Q1</w:t>
            </w:r>
          </w:p>
        </w:tc>
        <w:tc>
          <w:tcPr>
            <w:tcW w:type="dxa" w:w="1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Q3</w:t>
            </w:r>
          </w:p>
        </w:tc>
        <w:tc>
          <w:tcPr>
            <w:tcW w:type="dxa" w:w="1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IQR</w:t>
            </w:r>
          </w:p>
        </w:tc>
        <w:tc>
          <w:tcPr>
            <w:tcW w:type="dxa" w:w="1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Upper Fence</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Price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$232,000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$599,900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$367,900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$1,151,750</w:t>
            </w:r>
          </w:p>
        </w:tc>
      </w:tr>
      <w:tr>
        <w:tc>
          <w:tcPr>
            <w:tcW w:type="dxa" w:w="21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House Size</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1,296 sqft</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2,403 sqft</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1,107 sqft</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4,064 sqft</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Bedrooms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w:t>
            </w:r>
          </w:p>
        </w:tc>
      </w:tr>
      <w:tr>
        <w:tc>
          <w:tcPr>
            <w:tcW w:type="dxa" w:w="21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Bathrooms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w:t>
            </w:r>
          </w:p>
        </w:tc>
      </w:tr>
    </w:tbl>
    <w:p>
      <w:pPr>
        <w:spacing w:after="40" w:before="40"/>
      </w:pPr>
    </w:p>
    <w:p>
      <w:pPr>
        <w:spacing w:after="120" w:before="60" w:line="276"/>
      </w:pPr>
      <w:r>
        <w:rPr>
          <w:rFonts w:ascii="Arial" w:cs="Arial" w:eastAsia="Arial" w:hAnsi="Arial"/>
          <w:sz w:val="22"/>
          <w:szCs w:val="22"/>
        </w:rPr>
        <w:t xml:space="preserve">A separate IQR-filtered table (dbo.realtor_iqr, 1,297,370 records — 87.5% of the clean data) was created for all regression analysis. The fully cleaned dataset of 1,481,944 records was retained for all descriptive analysis to accurately represent the complete market, including luxury segments. This separation is the statistically correct approach: outliers belong in descriptive statistics but bias linear regression models.</w:t>
      </w:r>
    </w:p>
    <w:p>
      <w:pPr>
        <w:pStyle w:val="Heading1"/>
        <w:spacing w:after="140" w:before="320"/>
      </w:pPr>
      <w:r>
        <w:rPr>
          <w:rFonts w:ascii="Arial" w:cs="Arial" w:eastAsia="Arial" w:hAnsi="Arial"/>
          <w:b/>
          <w:bCs/>
          <w:color w:val="1F3864"/>
          <w:sz w:val="30"/>
          <w:szCs w:val="30"/>
        </w:rPr>
        <w:t xml:space="preserve">Section 3: Data Analysis</w:t>
      </w:r>
    </w:p>
    <w:p>
      <w:pPr>
        <w:pStyle w:val="Heading2"/>
        <w:spacing w:after="100" w:before="240"/>
      </w:pPr>
      <w:r>
        <w:rPr>
          <w:rFonts w:ascii="Arial" w:cs="Arial" w:eastAsia="Arial" w:hAnsi="Arial"/>
          <w:b/>
          <w:bCs/>
          <w:color w:val="2E75B6"/>
          <w:sz w:val="26"/>
          <w:szCs w:val="26"/>
        </w:rPr>
        <w:t xml:space="preserve">3.1 Question 2a: Median vs Average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Metric</w:t>
            </w:r>
          </w:p>
        </w:tc>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Value</w:t>
            </w:r>
          </w:p>
        </w:tc>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Total Records</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Average Price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$576,549</w:t>
            </w:r>
          </w:p>
        </w:tc>
        <w:tc>
          <w:tcPr>
            <w:tcW w:type="dxa" w:w="31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1,481,944</w:t>
            </w:r>
          </w:p>
        </w:tc>
      </w:tr>
      <w:tr>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Median Price</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$375,000</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1,481,944</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Difference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$201,549</w:t>
            </w:r>
          </w:p>
        </w:tc>
        <w:tc>
          <w:tcPr>
            <w:tcW w:type="dxa" w:w="31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w:t>
            </w:r>
          </w:p>
        </w:tc>
      </w:tr>
    </w:tbl>
    <w:p>
      <w:pPr>
        <w:spacing w:after="40" w:before="40"/>
      </w:pPr>
    </w:p>
    <w:p>
      <w:pPr>
        <w:spacing w:after="120" w:before="60" w:line="276"/>
      </w:pPr>
      <w:r>
        <w:rPr>
          <w:rFonts w:ascii="Arial" w:cs="Arial" w:eastAsia="Arial" w:hAnsi="Arial"/>
          <w:sz w:val="22"/>
          <w:szCs w:val="22"/>
        </w:rPr>
        <w:t xml:space="preserve">The $201,549 gap indicates a right-skewed distribution driven by luxury outliers. The median is the more accurate representation of what a typical buyer pays. Average price is used as the primary metric throughout the descriptive analysis because it is the standard metric for comparative market analysis across states and cities.</w:t>
      </w:r>
    </w:p>
    <w:p>
      <w:pPr>
        <w:pStyle w:val="Heading2"/>
        <w:spacing w:after="100" w:before="240"/>
      </w:pPr>
      <w:r>
        <w:rPr>
          <w:rFonts w:ascii="Arial" w:cs="Arial" w:eastAsia="Arial" w:hAnsi="Arial"/>
          <w:b/>
          <w:bCs/>
          <w:color w:val="2E75B6"/>
          <w:sz w:val="26"/>
          <w:szCs w:val="26"/>
        </w:rPr>
        <w:t xml:space="preserve">3.2 Question 2b: Price by State</w:t>
      </w:r>
    </w:p>
    <w:p>
      <w:pPr>
        <w:spacing w:after="80" w:before="160"/>
      </w:pPr>
      <w:r>
        <w:rPr>
          <w:rFonts w:ascii="Arial" w:cs="Arial" w:eastAsia="Arial" w:hAnsi="Arial"/>
          <w:b/>
          <w:bCs/>
          <w:color w:val="333333"/>
          <w:sz w:val="23"/>
          <w:szCs w:val="23"/>
        </w:rPr>
        <w:t xml:space="preserve">Top 3 Most Expensive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60"/>
        <w:gridCol w:w="2000"/>
        <w:gridCol w:w="2000"/>
        <w:gridCol w:w="1800"/>
      </w:tblGrid>
      <w:tr>
        <w:tc>
          <w:tcPr>
            <w:tcW w:type="dxa" w:w="1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Rank</w:t>
            </w:r>
          </w:p>
        </w:tc>
        <w:tc>
          <w:tcPr>
            <w:tcW w:type="dxa" w:w="24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State</w:t>
            </w:r>
          </w:p>
        </w:tc>
        <w:tc>
          <w:tcPr>
            <w:tcW w:type="dxa" w:w="2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Avg Price</w:t>
            </w:r>
          </w:p>
        </w:tc>
        <w:tc>
          <w:tcPr>
            <w:tcW w:type="dxa" w:w="2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Median Price</w:t>
            </w:r>
          </w:p>
        </w:tc>
        <w:tc>
          <w:tcPr>
            <w:tcW w:type="dxa" w:w="1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Listings</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w:t>
            </w:r>
          </w:p>
        </w:tc>
        <w:tc>
          <w:tcPr>
            <w:tcW w:type="dxa" w:w="2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Hawaii</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$1,414,882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$800,000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4,927</w:t>
            </w:r>
          </w:p>
        </w:tc>
      </w:tr>
      <w:tr>
        <w:tc>
          <w:tcPr>
            <w:tcW w:type="dxa" w:w="11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w:t>
            </w:r>
          </w:p>
        </w:tc>
        <w:tc>
          <w:tcPr>
            <w:tcW w:type="dxa" w:w="24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Virgin Islands</w:t>
            </w:r>
          </w:p>
        </w:tc>
        <w:tc>
          <w:tcPr>
            <w:tcW w:type="dxa" w:w="2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$1,298,464</w:t>
            </w:r>
          </w:p>
        </w:tc>
        <w:tc>
          <w:tcPr>
            <w:tcW w:type="dxa" w:w="2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$604,500</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202</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w:t>
            </w:r>
          </w:p>
        </w:tc>
        <w:tc>
          <w:tcPr>
            <w:tcW w:type="dxa" w:w="2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California</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$1,031,607</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$699,000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173,955</w:t>
            </w:r>
          </w:p>
        </w:tc>
      </w:tr>
    </w:tbl>
    <w:p>
      <w:pPr>
        <w:spacing w:after="40" w:before="40"/>
      </w:pPr>
    </w:p>
    <w:p>
      <w:pPr>
        <w:spacing w:after="80" w:before="160"/>
      </w:pPr>
      <w:r>
        <w:rPr>
          <w:rFonts w:ascii="Arial" w:cs="Arial" w:eastAsia="Arial" w:hAnsi="Arial"/>
          <w:b/>
          <w:bCs/>
          <w:color w:val="333333"/>
          <w:sz w:val="23"/>
          <w:szCs w:val="23"/>
        </w:rPr>
        <w:t xml:space="preserve">Bottom 3 Most Affordable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60"/>
        <w:gridCol w:w="2000"/>
        <w:gridCol w:w="2000"/>
        <w:gridCol w:w="1800"/>
      </w:tblGrid>
      <w:tr>
        <w:tc>
          <w:tcPr>
            <w:tcW w:type="dxa" w:w="1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Rank</w:t>
            </w:r>
          </w:p>
        </w:tc>
        <w:tc>
          <w:tcPr>
            <w:tcW w:type="dxa" w:w="24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State</w:t>
            </w:r>
          </w:p>
        </w:tc>
        <w:tc>
          <w:tcPr>
            <w:tcW w:type="dxa" w:w="2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Avg Price</w:t>
            </w:r>
          </w:p>
        </w:tc>
        <w:tc>
          <w:tcPr>
            <w:tcW w:type="dxa" w:w="2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Median Price</w:t>
            </w:r>
          </w:p>
        </w:tc>
        <w:tc>
          <w:tcPr>
            <w:tcW w:type="dxa" w:w="1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Listings</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w:t>
            </w:r>
          </w:p>
        </w:tc>
        <w:tc>
          <w:tcPr>
            <w:tcW w:type="dxa" w:w="2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Ohio</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$240,279</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$179,900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42,951</w:t>
            </w:r>
          </w:p>
        </w:tc>
      </w:tr>
      <w:tr>
        <w:tc>
          <w:tcPr>
            <w:tcW w:type="dxa" w:w="11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w:t>
            </w:r>
          </w:p>
        </w:tc>
        <w:tc>
          <w:tcPr>
            <w:tcW w:type="dxa" w:w="24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West Virginia</w:t>
            </w:r>
          </w:p>
        </w:tc>
        <w:tc>
          <w:tcPr>
            <w:tcW w:type="dxa" w:w="2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$252,245</w:t>
            </w:r>
          </w:p>
        </w:tc>
        <w:tc>
          <w:tcPr>
            <w:tcW w:type="dxa" w:w="2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$199,900</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7,491</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w:t>
            </w:r>
          </w:p>
        </w:tc>
        <w:tc>
          <w:tcPr>
            <w:tcW w:type="dxa" w:w="2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Iowa</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$257,565</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$218,000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17,221</w:t>
            </w:r>
          </w:p>
        </w:tc>
      </w:tr>
    </w:tbl>
    <w:p>
      <w:pPr>
        <w:spacing w:after="40" w:before="40"/>
      </w:pPr>
    </w:p>
    <w:p>
      <w:pPr>
        <w:spacing w:after="120" w:before="60" w:line="276"/>
      </w:pPr>
      <w:r>
        <w:rPr>
          <w:rFonts w:ascii="Arial" w:cs="Arial" w:eastAsia="Arial" w:hAnsi="Arial"/>
          <w:sz w:val="22"/>
          <w:szCs w:val="22"/>
        </w:rPr>
        <w:t xml:space="preserve">The Hawaii-to-Ohio spread represents a 5.9x price gap, the largest in the dataset. Florida ranks 15th at $649,020, which is 12.6% above the national average.</w:t>
      </w:r>
    </w:p>
    <w:p>
      <w:pPr>
        <w:pStyle w:val="Heading2"/>
        <w:spacing w:after="100" w:before="240"/>
      </w:pPr>
      <w:r>
        <w:rPr>
          <w:rFonts w:ascii="Arial" w:cs="Arial" w:eastAsia="Arial" w:hAnsi="Arial"/>
          <w:b/>
          <w:bCs/>
          <w:color w:val="2E75B6"/>
          <w:sz w:val="26"/>
          <w:szCs w:val="26"/>
        </w:rPr>
        <w:t xml:space="preserve">3.3 Question 2c: Price Drivers and Prediction</w:t>
      </w:r>
    </w:p>
    <w:p>
      <w:pPr>
        <w:spacing w:after="80" w:before="160"/>
      </w:pPr>
      <w:r>
        <w:rPr>
          <w:rFonts w:ascii="Arial" w:cs="Arial" w:eastAsia="Arial" w:hAnsi="Arial"/>
          <w:b/>
          <w:bCs/>
          <w:color w:val="333333"/>
          <w:sz w:val="23"/>
          <w:szCs w:val="23"/>
        </w:rPr>
        <w:t xml:space="preserve">Impact of House Characteristics on Price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60"/>
        <w:gridCol w:w="1340"/>
        <w:gridCol w:w="1560"/>
        <w:gridCol w:w="1560"/>
        <w:gridCol w:w="1340"/>
        <w:gridCol w:w="1540"/>
      </w:tblGrid>
      <w:tr>
        <w:tc>
          <w:tcPr>
            <w:tcW w:type="dxa" w:w="16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House Size</w:t>
            </w:r>
          </w:p>
        </w:tc>
        <w:tc>
          <w:tcPr>
            <w:tcW w:type="dxa" w:w="134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Listings</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Avg Price</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Bedrooms</w:t>
            </w:r>
          </w:p>
        </w:tc>
        <w:tc>
          <w:tcPr>
            <w:tcW w:type="dxa" w:w="134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Listings</w:t>
            </w:r>
          </w:p>
        </w:tc>
        <w:tc>
          <w:tcPr>
            <w:tcW w:type="dxa" w:w="154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Avg Price</w:t>
            </w:r>
          </w:p>
        </w:tc>
      </w:tr>
      <w:tr>
        <w:tc>
          <w:tcPr>
            <w:tcW w:type="dxa" w:w="1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Under 1,000 sqft</w:t>
            </w:r>
          </w:p>
        </w:tc>
        <w:tc>
          <w:tcPr>
            <w:tcW w:type="dxa" w:w="1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144,094</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$280,325</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 bedroom</w:t>
            </w:r>
          </w:p>
        </w:tc>
        <w:tc>
          <w:tcPr>
            <w:tcW w:type="dxa" w:w="1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52,279</w:t>
            </w:r>
          </w:p>
        </w:tc>
        <w:tc>
          <w:tcPr>
            <w:tcW w:type="dxa" w:w="15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$368,540</w:t>
            </w:r>
          </w:p>
        </w:tc>
      </w:tr>
      <w:tr>
        <w:tc>
          <w:tcPr>
            <w:tcW w:type="dxa" w:w="16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1,000–1,999 sqft</w:t>
            </w:r>
          </w:p>
        </w:tc>
        <w:tc>
          <w:tcPr>
            <w:tcW w:type="dxa" w:w="13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763,148</w:t>
            </w:r>
          </w:p>
        </w:tc>
        <w:tc>
          <w:tcPr>
            <w:tcW w:type="dxa" w:w="15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$388,869</w:t>
            </w:r>
          </w:p>
        </w:tc>
        <w:tc>
          <w:tcPr>
            <w:tcW w:type="dxa" w:w="15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 bedrooms</w:t>
            </w:r>
          </w:p>
        </w:tc>
        <w:tc>
          <w:tcPr>
            <w:tcW w:type="dxa" w:w="13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263,664</w:t>
            </w:r>
          </w:p>
        </w:tc>
        <w:tc>
          <w:tcPr>
            <w:tcW w:type="dxa" w:w="15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$394,889</w:t>
            </w:r>
          </w:p>
        </w:tc>
      </w:tr>
      <w:tr>
        <w:tc>
          <w:tcPr>
            <w:tcW w:type="dxa" w:w="1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2,000–2,999 sqft</w:t>
            </w:r>
          </w:p>
        </w:tc>
        <w:tc>
          <w:tcPr>
            <w:tcW w:type="dxa" w:w="1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375,403</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$608,172</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 bedrooms</w:t>
            </w:r>
          </w:p>
        </w:tc>
        <w:tc>
          <w:tcPr>
            <w:tcW w:type="dxa" w:w="1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646,742</w:t>
            </w:r>
          </w:p>
        </w:tc>
        <w:tc>
          <w:tcPr>
            <w:tcW w:type="dxa" w:w="15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$451,706</w:t>
            </w:r>
          </w:p>
        </w:tc>
      </w:tr>
      <w:tr>
        <w:tc>
          <w:tcPr>
            <w:tcW w:type="dxa" w:w="16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3,000–4,999 sqft</w:t>
            </w:r>
          </w:p>
        </w:tc>
        <w:tc>
          <w:tcPr>
            <w:tcW w:type="dxa" w:w="13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164,829</w:t>
            </w:r>
          </w:p>
        </w:tc>
        <w:tc>
          <w:tcPr>
            <w:tcW w:type="dxa" w:w="15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$1,080,052</w:t>
            </w:r>
          </w:p>
        </w:tc>
        <w:tc>
          <w:tcPr>
            <w:tcW w:type="dxa" w:w="15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 bedrooms</w:t>
            </w:r>
          </w:p>
        </w:tc>
        <w:tc>
          <w:tcPr>
            <w:tcW w:type="dxa" w:w="13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374,444</w:t>
            </w:r>
          </w:p>
        </w:tc>
        <w:tc>
          <w:tcPr>
            <w:tcW w:type="dxa" w:w="15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$662,498</w:t>
            </w:r>
          </w:p>
        </w:tc>
      </w:tr>
      <w:tr>
        <w:tc>
          <w:tcPr>
            <w:tcW w:type="dxa" w:w="1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5,000+ sqft</w:t>
            </w:r>
          </w:p>
        </w:tc>
        <w:tc>
          <w:tcPr>
            <w:tcW w:type="dxa" w:w="1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34,470</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$3,217,947</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 bedrooms</w:t>
            </w:r>
          </w:p>
        </w:tc>
        <w:tc>
          <w:tcPr>
            <w:tcW w:type="dxa" w:w="13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102,814</w:t>
            </w:r>
          </w:p>
        </w:tc>
        <w:tc>
          <w:tcPr>
            <w:tcW w:type="dxa" w:w="15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$1,086,413</w:t>
            </w:r>
          </w:p>
        </w:tc>
      </w:tr>
    </w:tbl>
    <w:p>
      <w:pPr>
        <w:spacing w:after="40" w:before="40"/>
      </w:pPr>
    </w:p>
    <w:p>
      <w:pPr>
        <w:spacing w:after="80" w:before="160"/>
      </w:pPr>
      <w:r>
        <w:rPr>
          <w:rFonts w:ascii="Arial" w:cs="Arial" w:eastAsia="Arial" w:hAnsi="Arial"/>
          <w:b/>
          <w:bCs/>
          <w:color w:val="333333"/>
          <w:sz w:val="23"/>
          <w:szCs w:val="23"/>
        </w:rPr>
        <w:t xml:space="preserve">Single-Variable Regression (IQR-filtered, n = 1,297,370)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560"/>
        <w:gridCol w:w="1300"/>
        <w:gridCol w:w="1000"/>
        <w:gridCol w:w="1000"/>
        <w:gridCol w:w="1000"/>
        <w:gridCol w:w="1000"/>
      </w:tblGrid>
      <w:tr>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Predictor</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Slope</w:t>
            </w:r>
          </w:p>
        </w:tc>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Intercept</w:t>
            </w:r>
          </w:p>
        </w:tc>
        <w:tc>
          <w:tcPr>
            <w:tcW w:type="dxa" w:w="1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R</w:t>
            </w:r>
          </w:p>
        </w:tc>
        <w:tc>
          <w:tcPr>
            <w:tcW w:type="dxa" w:w="1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R²</w:t>
            </w:r>
          </w:p>
        </w:tc>
        <w:tc>
          <w:tcPr>
            <w:tcW w:type="dxa" w:w="1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T-Stat</w:t>
            </w:r>
          </w:p>
        </w:tc>
        <w:tc>
          <w:tcPr>
            <w:tcW w:type="dxa" w:w="1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P-Value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House Size</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$138.95/sqft</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$137,683</w:t>
            </w:r>
          </w:p>
        </w:tc>
        <w:tc>
          <w:tcPr>
            <w:tcW w:type="dxa" w:w="1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0.4293</w:t>
            </w:r>
          </w:p>
        </w:tc>
        <w:tc>
          <w:tcPr>
            <w:tcW w:type="dxa" w:w="1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0.1843</w:t>
            </w:r>
          </w:p>
        </w:tc>
        <w:tc>
          <w:tcPr>
            <w:tcW w:type="dxa" w:w="1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541.35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p &lt; 0.001</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Bedrooms</w:t>
            </w:r>
          </w:p>
        </w:tc>
        <w:tc>
          <w:tcPr>
            <w:tcW w:type="dxa" w:w="15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$61,738/bed</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$193,895</w:t>
            </w:r>
          </w:p>
        </w:tc>
        <w:tc>
          <w:tcPr>
            <w:tcW w:type="dxa" w:w="1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0.2421</w:t>
            </w:r>
          </w:p>
        </w:tc>
        <w:tc>
          <w:tcPr>
            <w:tcW w:type="dxa" w:w="1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0.0586</w:t>
            </w:r>
          </w:p>
        </w:tc>
        <w:tc>
          <w:tcPr>
            <w:tcW w:type="dxa" w:w="1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284.21</w:t>
            </w:r>
          </w:p>
        </w:tc>
        <w:tc>
          <w:tcPr>
            <w:tcW w:type="dxa" w:w="1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p &lt; 0.001</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Bathrooms</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$119,034/bath</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$114,675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0.4295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0.1845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541.75</w:t>
            </w:r>
          </w:p>
        </w:tc>
        <w:tc>
          <w:tcPr>
            <w:tcW w:type="dxa" w:w="1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p &lt; 0.001</w:t>
            </w:r>
          </w:p>
        </w:tc>
      </w:tr>
    </w:tbl>
    <w:p>
      <w:pPr>
        <w:spacing w:after="40" w:before="40"/>
      </w:pPr>
    </w:p>
    <w:p>
      <w:pPr>
        <w:spacing w:after="120" w:before="60" w:line="276"/>
      </w:pPr>
      <w:r>
        <w:rPr>
          <w:rFonts w:ascii="Arial" w:cs="Arial" w:eastAsia="Arial" w:hAnsi="Arial"/>
          <w:sz w:val="22"/>
          <w:szCs w:val="22"/>
        </w:rPr>
        <w:t xml:space="preserve">Running regression on the IQR-filtered table produces realistic, defensible coefficients. House size (~$139/sqft) and bathrooms (~$119K) emerge as the strongest single predictors, each explaining roughly 18% of price variance. Bedrooms alone explain about 6%.</w:t>
      </w:r>
    </w:p>
    <w:p>
      <w:pPr>
        <w:spacing w:after="80" w:before="160"/>
      </w:pPr>
      <w:r>
        <w:rPr>
          <w:rFonts w:ascii="Arial" w:cs="Arial" w:eastAsia="Arial" w:hAnsi="Arial"/>
          <w:b/>
          <w:bCs/>
          <w:color w:val="333333"/>
          <w:sz w:val="23"/>
          <w:szCs w:val="23"/>
        </w:rPr>
        <w:t xml:space="preserve">Multiple Regression</w:t>
      </w:r>
    </w:p>
    <w:p>
      <w:pPr>
        <w:spacing w:after="120" w:before="60" w:line="276"/>
      </w:pPr>
      <w:r>
        <w:rPr>
          <w:rFonts w:ascii="Arial" w:cs="Arial" w:eastAsia="Arial" w:hAnsi="Arial"/>
          <w:sz w:val="22"/>
          <w:szCs w:val="22"/>
        </w:rPr>
        <w:t xml:space="preserve">Single-variable models suffer from omitted variable bias: because larger homes tend to have more bedrooms, bathrooms, and square footage simultaneously, each isolated model overstates its predictor's effect. A multiple regression solves all three coefficients at once so the variables share the price, revealing each feature's true marginal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Predictor</w:t>
            </w:r>
          </w:p>
        </w:tc>
        <w:tc>
          <w:tcPr>
            <w:tcW w:type="dxa" w:w="46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Coefficient</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House Size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$100.95/sqft</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Bedrooms</w:t>
            </w:r>
          </w:p>
        </w:tc>
        <w:tc>
          <w:tcPr>
            <w:tcW w:type="dxa" w:w="46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−$27,132.74/bed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Bathrooms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$74,086.44/bath</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Intercept</w:t>
            </w:r>
          </w:p>
        </w:tc>
        <w:tc>
          <w:tcPr>
            <w:tcW w:type="dxa" w:w="46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$120,933.24</w:t>
            </w:r>
          </w:p>
        </w:tc>
      </w:tr>
    </w:tbl>
    <w:p>
      <w:pPr>
        <w:spacing w:after="40" w:before="40"/>
      </w:pPr>
    </w:p>
    <w:p>
      <w:pPr>
        <w:spacing w:after="120" w:before="60" w:line="276"/>
      </w:pPr>
      <w:r>
        <w:rPr>
          <w:rFonts w:ascii="Arial" w:cs="Arial" w:eastAsia="Arial" w:hAnsi="Arial"/>
          <w:b/>
          <w:bCs/>
          <w:sz w:val="22"/>
          <w:szCs w:val="22"/>
        </w:rPr>
        <w:t xml:space="preserve">Model R² = 0.2229  |  Adjusted R² = 0.2229  |  F = 124,066  |  p &lt; 0.001</w:t>
      </w:r>
    </w:p>
    <w:p>
      <w:pPr>
        <w:spacing w:after="120" w:before="60" w:line="276"/>
      </w:pPr>
      <w:r>
        <w:rPr>
          <w:rFonts w:ascii="Courier New" w:cs="Courier New" w:eastAsia="Courier New" w:hAnsi="Courier New"/>
          <w:sz w:val="20"/>
          <w:szCs w:val="20"/>
        </w:rPr>
        <w:t xml:space="preserve">Price = $120,933 + ($100.95 × sqft) − ($27,133 × beds) + ($74,086 × baths)</w:t>
      </w:r>
    </w:p>
    <w:p>
      <w:pPr>
        <w:spacing w:after="120" w:before="60" w:line="276"/>
      </w:pPr>
      <w:r>
        <w:rPr>
          <w:rFonts w:ascii="Arial" w:cs="Arial" w:eastAsia="Arial" w:hAnsi="Arial"/>
          <w:sz w:val="22"/>
          <w:szCs w:val="22"/>
        </w:rPr>
        <w:t xml:space="preserve">The combined model explains 22.3% of price variance — more than any single predictor alone, confirming the variables work better together. Square footage emerges as the true primary driver (~$101/sqft), and each additional bathroom adds roughly $74K. The bedroom coefficient turns negative: once square footage is held constant, adding bedrooms means smaller rooms, which slightly reduces value. This is a well-documented result in real estate economics and demonstrates the model correctly isolating marginal effects.</w:t>
      </w:r>
    </w:p>
    <w:p>
      <w:pPr>
        <w:spacing w:after="80" w:before="160"/>
      </w:pPr>
      <w:r>
        <w:rPr>
          <w:rFonts w:ascii="Arial" w:cs="Arial" w:eastAsia="Arial" w:hAnsi="Arial"/>
          <w:b/>
          <w:bCs/>
          <w:color w:val="333333"/>
          <w:sz w:val="23"/>
          <w:szCs w:val="23"/>
        </w:rPr>
        <w:t xml:space="preserve">Price Prediction Reference Guide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900"/>
        <w:gridCol w:w="900"/>
        <w:gridCol w:w="1880"/>
        <w:gridCol w:w="1680"/>
      </w:tblGrid>
      <w:tr>
        <w:tc>
          <w:tcPr>
            <w:tcW w:type="dxa" w:w="2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Home Profile</w:t>
            </w:r>
          </w:p>
        </w:tc>
        <w:tc>
          <w:tcPr>
            <w:tcW w:type="dxa" w:w="1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Sqft</w:t>
            </w:r>
          </w:p>
        </w:tc>
        <w:tc>
          <w:tcPr>
            <w:tcW w:type="dxa" w:w="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Beds</w:t>
            </w:r>
          </w:p>
        </w:tc>
        <w:tc>
          <w:tcPr>
            <w:tcW w:type="dxa" w:w="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Baths</w:t>
            </w:r>
          </w:p>
        </w:tc>
        <w:tc>
          <w:tcPr>
            <w:tcW w:type="dxa" w:w="18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Nat. Price</w:t>
            </w:r>
          </w:p>
        </w:tc>
        <w:tc>
          <w:tcPr>
            <w:tcW w:type="dxa" w:w="16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FL Price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Small Starter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900</w:t>
            </w:r>
          </w:p>
        </w:tc>
        <w:tc>
          <w:tcPr>
            <w:tcW w:type="dxa" w:w="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w:t>
            </w:r>
          </w:p>
        </w:tc>
        <w:tc>
          <w:tcPr>
            <w:tcW w:type="dxa" w:w="18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$280,325</w:t>
            </w:r>
          </w:p>
        </w:tc>
        <w:tc>
          <w:tcPr>
            <w:tcW w:type="dxa" w:w="1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$236,098</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Average Home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1,500</w:t>
            </w:r>
          </w:p>
        </w:tc>
        <w:tc>
          <w:tcPr>
            <w:tcW w:type="dxa" w:w="9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w:t>
            </w:r>
          </w:p>
        </w:tc>
        <w:tc>
          <w:tcPr>
            <w:tcW w:type="dxa" w:w="9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w:t>
            </w:r>
          </w:p>
        </w:tc>
        <w:tc>
          <w:tcPr>
            <w:tcW w:type="dxa" w:w="18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$388,869</w:t>
            </w:r>
          </w:p>
        </w:tc>
        <w:tc>
          <w:tcPr>
            <w:tcW w:type="dxa" w:w="16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$399,808</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Above Average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2,500</w:t>
            </w:r>
          </w:p>
        </w:tc>
        <w:tc>
          <w:tcPr>
            <w:tcW w:type="dxa" w:w="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w:t>
            </w:r>
          </w:p>
        </w:tc>
        <w:tc>
          <w:tcPr>
            <w:tcW w:type="dxa" w:w="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w:t>
            </w:r>
          </w:p>
        </w:tc>
        <w:tc>
          <w:tcPr>
            <w:tcW w:type="dxa" w:w="18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$608,172</w:t>
            </w:r>
          </w:p>
        </w:tc>
        <w:tc>
          <w:tcPr>
            <w:tcW w:type="dxa" w:w="1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$760,654</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Large Home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3,500</w:t>
            </w:r>
          </w:p>
        </w:tc>
        <w:tc>
          <w:tcPr>
            <w:tcW w:type="dxa" w:w="9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w:t>
            </w:r>
          </w:p>
        </w:tc>
        <w:tc>
          <w:tcPr>
            <w:tcW w:type="dxa" w:w="9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w:t>
            </w:r>
          </w:p>
        </w:tc>
        <w:tc>
          <w:tcPr>
            <w:tcW w:type="dxa" w:w="18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$1,080,052</w:t>
            </w:r>
          </w:p>
        </w:tc>
        <w:tc>
          <w:tcPr>
            <w:tcW w:type="dxa" w:w="168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$1,809,342</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Luxury Home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5,000</w:t>
            </w:r>
          </w:p>
        </w:tc>
        <w:tc>
          <w:tcPr>
            <w:tcW w:type="dxa" w:w="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w:t>
            </w:r>
          </w:p>
        </w:tc>
        <w:tc>
          <w:tcPr>
            <w:tcW w:type="dxa" w:w="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w:t>
            </w:r>
          </w:p>
        </w:tc>
        <w:tc>
          <w:tcPr>
            <w:tcW w:type="dxa" w:w="18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$3,217,947</w:t>
            </w:r>
          </w:p>
        </w:tc>
        <w:tc>
          <w:tcPr>
            <w:tcW w:type="dxa" w:w="1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$6,719,148</w:t>
            </w:r>
          </w:p>
        </w:tc>
      </w:tr>
    </w:tbl>
    <w:p>
      <w:pPr>
        <w:spacing w:after="40" w:before="40"/>
      </w:pPr>
    </w:p>
    <w:p>
      <w:pPr>
        <w:spacing w:after="120" w:before="60" w:line="276"/>
      </w:pPr>
      <w:r>
        <w:rPr>
          <w:rFonts w:ascii="Arial" w:cs="Arial" w:eastAsia="Arial" w:hAnsi="Arial"/>
          <w:sz w:val="22"/>
          <w:szCs w:val="22"/>
        </w:rPr>
        <w:t xml:space="preserve">Prices in this table are based on observed market averages for each home profile rather than regression extrapolation, making them reliable for practical reference.</w:t>
      </w:r>
    </w:p>
    <w:p>
      <w:pPr>
        <w:pStyle w:val="Heading2"/>
        <w:spacing w:after="100" w:before="240"/>
      </w:pPr>
      <w:r>
        <w:rPr>
          <w:rFonts w:ascii="Arial" w:cs="Arial" w:eastAsia="Arial" w:hAnsi="Arial"/>
          <w:b/>
          <w:bCs/>
          <w:color w:val="2E75B6"/>
          <w:sz w:val="26"/>
          <w:szCs w:val="26"/>
        </w:rPr>
        <w:t xml:space="preserve">3.4 Question 2d: Correlations Between Characteristics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400"/>
        <w:gridCol w:w="1500"/>
        <w:gridCol w:w="1860"/>
        <w:gridCol w:w="1300"/>
      </w:tblGrid>
      <w:tr>
        <w:tc>
          <w:tcPr>
            <w:tcW w:type="dxa" w:w="1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Bedrooms</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Avg Baths</w:t>
            </w:r>
          </w:p>
        </w:tc>
        <w:tc>
          <w:tcPr>
            <w:tcW w:type="dxa" w:w="1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Avg Sqft</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Avg Acres</w:t>
            </w:r>
          </w:p>
        </w:tc>
        <w:tc>
          <w:tcPr>
            <w:tcW w:type="dxa" w:w="18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Avg Price</w:t>
            </w:r>
          </w:p>
        </w:tc>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Listings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1.18</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931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37.59</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$368,540</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52,279</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1.80</w:t>
            </w:r>
          </w:p>
        </w:tc>
        <w:tc>
          <w:tcPr>
            <w:tcW w:type="dxa" w:w="1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1,288</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18.83</w:t>
            </w:r>
          </w:p>
        </w:tc>
        <w:tc>
          <w:tcPr>
            <w:tcW w:type="dxa" w:w="1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$394,889</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263,664</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2.25</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1,755</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10.43</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$451,706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646,742</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2.94</w:t>
            </w:r>
          </w:p>
        </w:tc>
        <w:tc>
          <w:tcPr>
            <w:tcW w:type="dxa" w:w="1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2,518</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9.53</w:t>
            </w:r>
          </w:p>
        </w:tc>
        <w:tc>
          <w:tcPr>
            <w:tcW w:type="dxa" w:w="1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$662,498</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374,444</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3.81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3,509</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16.10</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$1,086,413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102,814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6</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4.48</w:t>
            </w:r>
          </w:p>
        </w:tc>
        <w:tc>
          <w:tcPr>
            <w:tcW w:type="dxa" w:w="1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4,297</w:t>
            </w:r>
          </w:p>
        </w:tc>
        <w:tc>
          <w:tcPr>
            <w:tcW w:type="dxa" w:w="1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27.52</w:t>
            </w:r>
          </w:p>
        </w:tc>
        <w:tc>
          <w:tcPr>
            <w:tcW w:type="dxa" w:w="1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$1,659,027</w:t>
            </w:r>
          </w:p>
        </w:tc>
        <w:tc>
          <w:tcPr>
            <w:tcW w:type="dxa" w:w="1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26,139</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7</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5.36</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5,174</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42.49</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$2,428,933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6,350</w:t>
            </w:r>
          </w:p>
        </w:tc>
      </w:tr>
    </w:tbl>
    <w:p>
      <w:pPr>
        <w:spacing w:after="40" w:before="40"/>
      </w:pPr>
    </w:p>
    <w:p>
      <w:pPr>
        <w:spacing w:after="120" w:before="60" w:line="276"/>
      </w:pPr>
      <w:r>
        <w:rPr>
          <w:rFonts w:ascii="Arial" w:cs="Arial" w:eastAsia="Arial" w:hAnsi="Arial"/>
          <w:sz w:val="22"/>
          <w:szCs w:val="22"/>
        </w:rPr>
        <w:t xml:space="preserve">Bedrooms, bathrooms, and square footage are strongly correlated (multicollinearity) — this is precisely why the multiple regression in 3.3 is needed to isolate true marginal effects. Acre lot size shows a surprising inverse relationship at the low end: 1-bed homes average 37.59 acres vs 10.43 for 3-bed homes, explained by rural agricultural parcels with modest dwellings.</w:t>
      </w:r>
    </w:p>
    <w:p>
      <w:pPr>
        <w:pStyle w:val="Heading2"/>
        <w:spacing w:after="100" w:before="240"/>
      </w:pPr>
      <w:r>
        <w:rPr>
          <w:rFonts w:ascii="Arial" w:cs="Arial" w:eastAsia="Arial" w:hAnsi="Arial"/>
          <w:b/>
          <w:bCs/>
          <w:color w:val="2E75B6"/>
          <w:sz w:val="26"/>
          <w:szCs w:val="26"/>
        </w:rPr>
        <w:t xml:space="preserve">3.5 Question 2e: Florida Housing Market Deep Dive</w:t>
      </w:r>
    </w:p>
    <w:p>
      <w:pPr>
        <w:spacing w:after="80" w:before="160"/>
      </w:pPr>
      <w:r>
        <w:rPr>
          <w:rFonts w:ascii="Arial" w:cs="Arial" w:eastAsia="Arial" w:hAnsi="Arial"/>
          <w:b/>
          <w:bCs/>
          <w:color w:val="333333"/>
          <w:sz w:val="23"/>
          <w:szCs w:val="23"/>
        </w:rPr>
        <w:t xml:space="preserve">Florida vs National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c>
          <w:tcPr>
            <w:tcW w:type="dxa" w:w="264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Metric</w:t>
            </w:r>
          </w:p>
        </w:tc>
        <w:tc>
          <w:tcPr>
            <w:tcW w:type="dxa" w:w="224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Florida</w:t>
            </w:r>
          </w:p>
        </w:tc>
        <w:tc>
          <w:tcPr>
            <w:tcW w:type="dxa" w:w="224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National</w:t>
            </w:r>
          </w:p>
        </w:tc>
        <w:tc>
          <w:tcPr>
            <w:tcW w:type="dxa" w:w="224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Difference</w:t>
            </w:r>
          </w:p>
        </w:tc>
      </w:tr>
      <w:tr>
        <w:tc>
          <w:tcPr>
            <w:tcW w:type="dxa" w:w="26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Total Listings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166,931</w:t>
            </w:r>
          </w:p>
        </w:tc>
        <w:tc>
          <w:tcPr>
            <w:tcW w:type="dxa" w:w="22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1,481,944</w:t>
            </w:r>
          </w:p>
        </w:tc>
        <w:tc>
          <w:tcPr>
            <w:tcW w:type="dxa" w:w="22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11.3% of all</w:t>
            </w:r>
          </w:p>
        </w:tc>
      </w:tr>
      <w:tr>
        <w:tc>
          <w:tcPr>
            <w:tcW w:type="dxa" w:w="26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Average Price</w:t>
            </w:r>
          </w:p>
        </w:tc>
        <w:tc>
          <w:tcPr>
            <w:tcW w:type="dxa" w:w="22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$649,020</w:t>
            </w:r>
          </w:p>
        </w:tc>
        <w:tc>
          <w:tcPr>
            <w:tcW w:type="dxa" w:w="22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$576,549</w:t>
            </w:r>
          </w:p>
        </w:tc>
        <w:tc>
          <w:tcPr>
            <w:tcW w:type="dxa" w:w="22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+$72,471 (+12.6%)</w:t>
            </w:r>
          </w:p>
        </w:tc>
      </w:tr>
      <w:tr>
        <w:tc>
          <w:tcPr>
            <w:tcW w:type="dxa" w:w="26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Median Price</w:t>
            </w:r>
          </w:p>
        </w:tc>
        <w:tc>
          <w:tcPr>
            <w:tcW w:type="dxa" w:w="22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$370,880</w:t>
            </w:r>
          </w:p>
        </w:tc>
        <w:tc>
          <w:tcPr>
            <w:tcW w:type="dxa" w:w="22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$375,000</w:t>
            </w:r>
          </w:p>
        </w:tc>
        <w:tc>
          <w:tcPr>
            <w:tcW w:type="dxa" w:w="22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-$4,120 (-1.1%)</w:t>
            </w:r>
          </w:p>
        </w:tc>
      </w:tr>
      <w:tr>
        <w:tc>
          <w:tcPr>
            <w:tcW w:type="dxa" w:w="26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Average House Size</w:t>
            </w:r>
          </w:p>
        </w:tc>
        <w:tc>
          <w:tcPr>
            <w:tcW w:type="dxa" w:w="22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1,809 sqft</w:t>
            </w:r>
          </w:p>
        </w:tc>
        <w:tc>
          <w:tcPr>
            <w:tcW w:type="dxa" w:w="22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2,041 sqft</w:t>
            </w:r>
          </w:p>
        </w:tc>
        <w:tc>
          <w:tcPr>
            <w:tcW w:type="dxa" w:w="22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-232 sqft (-11.4%)</w:t>
            </w:r>
          </w:p>
        </w:tc>
      </w:tr>
      <w:tr>
        <w:tc>
          <w:tcPr>
            <w:tcW w:type="dxa" w:w="26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Average Bedrooms</w:t>
            </w:r>
          </w:p>
        </w:tc>
        <w:tc>
          <w:tcPr>
            <w:tcW w:type="dxa" w:w="22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3.0</w:t>
            </w:r>
          </w:p>
        </w:tc>
        <w:tc>
          <w:tcPr>
            <w:tcW w:type="dxa" w:w="22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3.3</w:t>
            </w:r>
          </w:p>
        </w:tc>
        <w:tc>
          <w:tcPr>
            <w:tcW w:type="dxa" w:w="22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-0.3 bedrooms</w:t>
            </w:r>
          </w:p>
        </w:tc>
      </w:tr>
      <w:tr>
        <w:tc>
          <w:tcPr>
            <w:tcW w:type="dxa" w:w="26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Average Bathrooms</w:t>
            </w:r>
          </w:p>
        </w:tc>
        <w:tc>
          <w:tcPr>
            <w:tcW w:type="dxa" w:w="22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2.4</w:t>
            </w:r>
          </w:p>
        </w:tc>
        <w:tc>
          <w:tcPr>
            <w:tcW w:type="dxa" w:w="22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2.5</w:t>
            </w:r>
          </w:p>
        </w:tc>
        <w:tc>
          <w:tcPr>
            <w:tcW w:type="dxa" w:w="224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-0.1 bathrooms</w:t>
            </w:r>
          </w:p>
        </w:tc>
      </w:tr>
    </w:tbl>
    <w:p>
      <w:pPr>
        <w:spacing w:after="40" w:before="40"/>
      </w:pPr>
    </w:p>
    <w:p>
      <w:pPr>
        <w:spacing w:after="80" w:before="160"/>
      </w:pPr>
      <w:r>
        <w:rPr>
          <w:rFonts w:ascii="Arial" w:cs="Arial" w:eastAsia="Arial" w:hAnsi="Arial"/>
          <w:b/>
          <w:bCs/>
          <w:color w:val="333333"/>
          <w:sz w:val="23"/>
          <w:szCs w:val="23"/>
        </w:rPr>
        <w:t xml:space="preserve">Florida Cities by Listing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c>
          <w:tcPr>
            <w:tcW w:type="dxa" w:w="27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City</w:t>
            </w:r>
          </w:p>
        </w:tc>
        <w:tc>
          <w:tcPr>
            <w:tcW w:type="dxa" w:w="2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Listings</w:t>
            </w:r>
          </w:p>
        </w:tc>
        <w:tc>
          <w:tcPr>
            <w:tcW w:type="dxa" w:w="2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Avg Price</w:t>
            </w:r>
          </w:p>
        </w:tc>
        <w:tc>
          <w:tcPr>
            <w:tcW w:type="dxa" w:w="2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Avg Sqft</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Jacksonville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7,982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$334,260</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1,724</w:t>
            </w:r>
          </w:p>
        </w:tc>
      </w:tr>
      <w:tr>
        <w:tc>
          <w:tcPr>
            <w:tcW w:type="dxa" w:w="2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Miami</w:t>
            </w:r>
          </w:p>
        </w:tc>
        <w:tc>
          <w:tcPr>
            <w:tcW w:type="dxa" w:w="2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7,836</w:t>
            </w:r>
          </w:p>
        </w:tc>
        <w:tc>
          <w:tcPr>
            <w:tcW w:type="dxa" w:w="2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$844,746</w:t>
            </w:r>
          </w:p>
        </w:tc>
        <w:tc>
          <w:tcPr>
            <w:tcW w:type="dxa" w:w="2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1,584</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Orlando</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5,939</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$409,197</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1,733</w:t>
            </w:r>
          </w:p>
        </w:tc>
      </w:tr>
      <w:tr>
        <w:tc>
          <w:tcPr>
            <w:tcW w:type="dxa" w:w="2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Tampa</w:t>
            </w:r>
          </w:p>
        </w:tc>
        <w:tc>
          <w:tcPr>
            <w:tcW w:type="dxa" w:w="2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5,013</w:t>
            </w:r>
          </w:p>
        </w:tc>
        <w:tc>
          <w:tcPr>
            <w:tcW w:type="dxa" w:w="2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$547,774</w:t>
            </w:r>
          </w:p>
        </w:tc>
        <w:tc>
          <w:tcPr>
            <w:tcW w:type="dxa" w:w="2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1,801</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Naples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4,524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$1,416,967</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2,129</w:t>
            </w:r>
          </w:p>
        </w:tc>
      </w:tr>
      <w:tr>
        <w:tc>
          <w:tcPr>
            <w:tcW w:type="dxa" w:w="2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Saint Petersburg</w:t>
            </w:r>
          </w:p>
        </w:tc>
        <w:tc>
          <w:tcPr>
            <w:tcW w:type="dxa" w:w="2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2,848</w:t>
            </w:r>
          </w:p>
        </w:tc>
        <w:tc>
          <w:tcPr>
            <w:tcW w:type="dxa" w:w="2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$517,601</w:t>
            </w:r>
          </w:p>
        </w:tc>
        <w:tc>
          <w:tcPr>
            <w:tcW w:type="dxa" w:w="2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1,439</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Miami Beach</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2,360</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$2,170,059</w:t>
            </w:r>
          </w:p>
        </w:tc>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1,547</w:t>
            </w:r>
          </w:p>
        </w:tc>
      </w:tr>
      <w:tr>
        <w:tc>
          <w:tcPr>
            <w:tcW w:type="dxa" w:w="2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Sarasota</w:t>
            </w:r>
          </w:p>
        </w:tc>
        <w:tc>
          <w:tcPr>
            <w:tcW w:type="dxa" w:w="2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1,968</w:t>
            </w:r>
          </w:p>
        </w:tc>
        <w:tc>
          <w:tcPr>
            <w:tcW w:type="dxa" w:w="2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$1,111,002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1,965</w:t>
            </w:r>
          </w:p>
        </w:tc>
      </w:tr>
    </w:tbl>
    <w:p>
      <w:pPr>
        <w:spacing w:after="40" w:before="40"/>
      </w:pPr>
    </w:p>
    <w:p>
      <w:pPr>
        <w:spacing w:after="120" w:before="60" w:line="276"/>
      </w:pPr>
      <w:r>
        <w:rPr>
          <w:rFonts w:ascii="Arial" w:cs="Arial" w:eastAsia="Arial" w:hAnsi="Arial"/>
          <w:sz w:val="22"/>
          <w:szCs w:val="22"/>
        </w:rPr>
        <w:t xml:space="preserve">Florida commands a 12.6% price premium despite homes averaging 232 sqft smaller, meaning buyers pay more per square foot — a premium driven by climate, coastal access, and in-migration. Internal variation is extreme: Jacksonville ($334,260) to Miami Beach ($2,170,059).</w:t>
      </w:r>
    </w:p>
    <w:p>
      <w:pPr>
        <w:pStyle w:val="Heading1"/>
        <w:spacing w:after="140" w:before="320"/>
      </w:pPr>
      <w:r>
        <w:rPr>
          <w:rFonts w:ascii="Arial" w:cs="Arial" w:eastAsia="Arial" w:hAnsi="Arial"/>
          <w:b/>
          <w:bCs/>
          <w:color w:val="1F3864"/>
          <w:sz w:val="30"/>
          <w:szCs w:val="30"/>
        </w:rPr>
        <w:t xml:space="preserve">Section 4: Power BI Dashboard</w:t>
      </w:r>
    </w:p>
    <w:p>
      <w:pPr>
        <w:spacing w:after="120" w:before="60" w:line="276"/>
      </w:pPr>
      <w:r>
        <w:rPr>
          <w:rFonts w:ascii="Arial" w:cs="Arial" w:eastAsia="Arial" w:hAnsi="Arial"/>
          <w:sz w:val="22"/>
          <w:szCs w:val="22"/>
        </w:rPr>
        <w:t xml:space="preserve">The Power BI report was built across eight tabs using a consistent dark navy theme (#0F1923 background, #00C4CC / #FF6B6B / #FFD93D accents).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560"/>
        <w:gridCol w:w="1800"/>
      </w:tblGrid>
      <w:tr>
        <w:tc>
          <w:tcPr>
            <w:tcW w:type="dxa" w:w="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Tab</w:t>
            </w:r>
          </w:p>
        </w:tc>
        <w:tc>
          <w:tcPr>
            <w:tcW w:type="dxa" w:w="2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Name</w:t>
            </w:r>
          </w:p>
        </w:tc>
        <w:tc>
          <w:tcPr>
            <w:tcW w:type="dxa" w:w="4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Purpose</w:t>
            </w:r>
          </w:p>
        </w:tc>
        <w:tc>
          <w:tcPr>
            <w:tcW w:type="dxa" w:w="1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20"/>
                <w:szCs w:val="20"/>
              </w:rPr>
              <w:t xml:space="preserve">Question</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1</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Overview</w:t>
            </w:r>
          </w:p>
        </w:tc>
        <w:tc>
          <w:tcPr>
            <w:tcW w:type="dxa" w:w="4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National price summary, KPI cards, price distribution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Q2a</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2</w:t>
            </w:r>
          </w:p>
        </w:tc>
        <w:tc>
          <w:tcPr>
            <w:tcW w:type="dxa" w:w="2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Price by Location</w:t>
            </w:r>
          </w:p>
        </w:tc>
        <w:tc>
          <w:tcPr>
            <w:tcW w:type="dxa" w:w="45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Bubble map and top/bottom state bar charts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Q2b</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3</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Price Drivers</w:t>
            </w:r>
          </w:p>
        </w:tc>
        <w:tc>
          <w:tcPr>
            <w:tcW w:type="dxa" w:w="4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Bedroom, bathroom, and size effects on price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Q2c</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4</w:t>
            </w:r>
          </w:p>
        </w:tc>
        <w:tc>
          <w:tcPr>
            <w:tcW w:type="dxa" w:w="2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Correlations</w:t>
            </w:r>
          </w:p>
        </w:tc>
        <w:tc>
          <w:tcPr>
            <w:tcW w:type="dxa" w:w="45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Heatmap matrix, scatter plots, insight cards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Q2d</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5</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Florida Analysis</w:t>
            </w:r>
          </w:p>
        </w:tc>
        <w:tc>
          <w:tcPr>
            <w:tcW w:type="dxa" w:w="4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Florida deep dive with city breakdowns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Q2e</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6</w:t>
            </w:r>
          </w:p>
        </w:tc>
        <w:tc>
          <w:tcPr>
            <w:tcW w:type="dxa" w:w="2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Regression Analysis</w:t>
            </w:r>
          </w:p>
        </w:tc>
        <w:tc>
          <w:tcPr>
            <w:tcW w:type="dxa" w:w="45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IQR-filtered single + multiple regression with R²</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Q2c ext.</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7</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Predictive Modeling</w:t>
            </w:r>
          </w:p>
        </w:tc>
        <w:tc>
          <w:tcPr>
            <w:tcW w:type="dxa" w:w="4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Price prediction guide and model accuracy</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Q2c ext.</w:t>
            </w:r>
          </w:p>
        </w:tc>
      </w:tr>
      <w:tr>
        <w:tc>
          <w:tcPr>
            <w:tcW w:type="dxa" w:w="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8</w:t>
            </w:r>
          </w:p>
        </w:tc>
        <w:tc>
          <w:tcPr>
            <w:tcW w:type="dxa" w:w="2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Executive Summary</w:t>
            </w:r>
          </w:p>
        </w:tc>
        <w:tc>
          <w:tcPr>
            <w:tcW w:type="dxa" w:w="45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Summary dashboard of all key findings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rFonts w:ascii="Arial" w:cs="Arial" w:eastAsia="Arial" w:hAnsi="Arial"/>
                <w:b w:val="false"/>
                <w:bCs w:val="false"/>
                <w:sz w:val="20"/>
                <w:szCs w:val="20"/>
              </w:rPr>
              <w:t xml:space="preserve">All</w:t>
            </w:r>
          </w:p>
        </w:tc>
      </w:tr>
    </w:tbl>
    <w:p>
      <w:pPr>
        <w:pStyle w:val="Heading1"/>
        <w:spacing w:after="140" w:before="320"/>
      </w:pPr>
      <w:r>
        <w:rPr>
          <w:rFonts w:ascii="Arial" w:cs="Arial" w:eastAsia="Arial" w:hAnsi="Arial"/>
          <w:b/>
          <w:bCs/>
          <w:color w:val="1F3864"/>
          <w:sz w:val="30"/>
          <w:szCs w:val="30"/>
        </w:rPr>
        <w:t xml:space="preserve">Section 5: Conclusion</w:t>
      </w:r>
    </w:p>
    <w:p>
      <w:pPr>
        <w:spacing w:after="120" w:before="60" w:line="276"/>
      </w:pPr>
      <w:r>
        <w:rPr>
          <w:rFonts w:ascii="Arial" w:cs="Arial" w:eastAsia="Arial" w:hAnsi="Arial"/>
          <w:sz w:val="22"/>
          <w:szCs w:val="22"/>
        </w:rPr>
        <w:t xml:space="preserve">This analysis of U.S. real estate listings produced several significant findings about the American housing market.</w:t>
      </w:r>
    </w:p>
    <w:p>
      <w:pPr>
        <w:spacing w:after="120" w:before="60" w:line="276"/>
      </w:pPr>
      <w:r>
        <w:rPr>
          <w:rFonts w:ascii="Arial" w:cs="Arial" w:eastAsia="Arial" w:hAnsi="Arial"/>
          <w:sz w:val="22"/>
          <w:szCs w:val="22"/>
        </w:rPr>
        <w:t xml:space="preserve">The national median home price of $375,000 is the most accurate representation of what a typical buyer pays. The $201,549 gap between median and average confirms a right-skewed distribution caused by luxury outliers. At the state level, Hawaii averages $1,414,882, nearly 6x more than Ohio at $240,279, demonstrating the extraordinary geographic range of housing costs.</w:t>
      </w:r>
    </w:p>
    <w:p>
      <w:pPr>
        <w:spacing w:after="120" w:before="60" w:line="276"/>
      </w:pPr>
      <w:r>
        <w:rPr>
          <w:rFonts w:ascii="Arial" w:cs="Arial" w:eastAsia="Arial" w:hAnsi="Arial"/>
          <w:sz w:val="22"/>
          <w:szCs w:val="22"/>
        </w:rPr>
        <w:t xml:space="preserve">A multiple regression model on the IQR-filtered data (R² = 0.2229) outperforms every single-variable model and corrects the omitted variable bias inherent in isolated regressions. Square footage is the true primary price driver (~$101/sqft), each bathroom adds ~$74K, and bedrooms show a negative marginal effect once size is held constant — adding bedrooms without space yields smaller rooms. All predictors are significant at p &lt; 0.001.</w:t>
      </w:r>
    </w:p>
    <w:p>
      <w:pPr>
        <w:spacing w:after="120" w:before="60" w:line="276"/>
      </w:pPr>
      <w:r>
        <w:rPr>
          <w:rFonts w:ascii="Arial" w:cs="Arial" w:eastAsia="Arial" w:hAnsi="Arial"/>
          <w:sz w:val="22"/>
          <w:szCs w:val="22"/>
        </w:rPr>
        <w:t xml:space="preserve">Florida commands a 12.6% price premium despite offering homes 232 sqft smaller than the national average, with internal variation ranging from Jacksonville ($334,260) to Miami Beach ($2,170,059).</w:t>
      </w:r>
    </w:p>
    <w:p>
      <w:pPr>
        <w:spacing w:after="120" w:before="60" w:line="276"/>
      </w:pPr>
      <w:r>
        <w:rPr>
          <w:rFonts w:ascii="Arial" w:cs="Arial" w:eastAsia="Arial" w:hAnsi="Arial"/>
          <w:sz w:val="22"/>
          <w:szCs w:val="22"/>
        </w:rPr>
        <w:t xml:space="preserve">The combination of SQL Server for data management and Power BI for visualization, together with IQR-based outlier detection and both single-variable and multiple regression computed from scratch in T-SQL, provides a comprehensive analytical framework that goes well beyond basic descriptive statistics.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2026-06-15T01:31:24.393Z</dcterms:created>
  <dcterms:modified xsi:type="dcterms:W3CDTF">2026-06-15T01:31:24.393Z</dcterms:modified>
</cp:coreProperties>
</file>

<file path=docProps/custom.xml><?xml version="1.0" encoding="utf-8"?>
<Properties xmlns="http://schemas.openxmlformats.org/officeDocument/2006/custom-properties" xmlns:vt="http://schemas.openxmlformats.org/officeDocument/2006/docPropsVTypes"/>
</file>