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-- Add Modern Macro Event Nodes (Full Top 10) to KG 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add_modern_macro_event_nodes(kg):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events = [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("COVID Economic Shock (2020)", "Global pandemic triggered synchronized demand/supply collapse, lockdowns, stimulus, and extreme volatility.", "Historical Layer"),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("Eurozone Sovereign Crisis (2011)", "European debt spiral driven by Greece, Italy, Spain and austerity-led ECB regime tension.", "Historical Layer"),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("BRICS Reserve Strategy (2023)", "New reserve currency initiatives from BRICS nations challenge dollar hegemony and shift commodity settlement norms.", "Macro Regime Layer"),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("QT to Recession Regime (2022–24)", "Post-COVID quantitative tightening regime triggered liquidity withdrawal and reintroduced hard landing risk.", "Macro Regime Layer"),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("Debt Ceiling Panic (2023)", "U.S. Treasury market dysfunction triggered by political gridlock and bill liquidity stress.", "Policy Constraint Layer"),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("AI Infrastructure Bubble (2023)", "Speculative surge in semiconductors and LLM infrastructure driven by AI hype, GPU shortages, and valuation overshoot.", "Behavioral Layer"),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("Energy Security Repricing (2022)", "Russia/Ukraine war repriced oil, gas, and electricity risks and catalyzed a global energy sovereignty rethink.", "Commodity Macro Layer"),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("Meme Stock Mania (2021)", "Retail-driven speculative frenzy in low-float names driven by social media and options gamma dynamics.", "Behavioral Layer"),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("Meta Tech Drawdown (2022)", "Collapse in Meta Platforms valuation post-earnings guided market to recognize valuation fragility in mega-cap growth.", "Tech Cycle Layer"),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("Japan YCC Exit (2023)", "BoJ stealth tightening breaks global yield carry assumptions, triggering cross-asset volatility.", "FX/Rate Layer")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name, desc, layer in events: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kg.create_node("MacroEvent", {"name": name, "description": desc, "layer": layer})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kg.create_relationship(name, layer, "BELONGS_TO")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links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("COVID Economic Shock (2020)", "ReasoningPath_017", "TRIGGERS", ["global freeze", "liquidity panic"]),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("COVID Economic Shock (2020)", "ReasoningPath_019", "AMPLIFIES", ["policy reflex", "inflation rebound"]),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("Eurozone Sovereign Crisis (2011)", "ReasoningPath_028", "REINFORCES", ["sovereign default", "currency stress"]),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("Eurozone Sovereign Crisis (2011)", "ReasoningPath_026", "ANCHORS", ["bond divergence", "risk spread"]),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("BRICS Reserve Strategy (2023)", "ReasoningPath_032", "FUNDAMENTAL_SHIFT", ["de-dollarization", "multi-polar capital"]),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("BRICS Reserve Strategy (2023)", "ReasoningPath_026", "GEOPOLITICALLY_LINKED", ["FX fragmentation", "commodity settlement realignment"]),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("QT to Recession Regime (2022–24)", "ReasoningPath_030", "REINFORCES", ["liquidity unwind", "multiple compression"]),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("QT to Recession Regime (2022–24)", "ReasoningPath_027_v2", "DRIVES", ["credit repricing", "funding stress"]),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("Debt Ceiling Panic (2023)", "ReasoningPath_028", "CONDITIONS", ["bond market dislocation", "T-bill distortion"]),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("AI Infrastructure Bubble (2023)", "ReasoningPath_030", "AMPLIFIES", ["valuation euphoria", "infra capex boom"]),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("AI Infrastructure Bubble (2023)", "ReasoningPath_021", "REPEATS", ["tech cycle mimic", "FOMO contagion"]),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("Energy Security Repricing (2022)", "ReasoningPath_019", "TRIGGERS", ["commodity squeeze", "inflation panic"]),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("Energy Security Repricing (2022)", "ReasoningPath_014", "REVALIDATES", ["energy dominance", "OPEC influence"]),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("Meme Stock Mania (2021)", "ReasoningPath_021", "TRIGGERS", ["retail gamma spiral", "behavioral surge"]),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("Meme Stock Mania (2021)", "ReasoningPath_033", "REINFORCES", ["short squeeze reflex", "volatility feedback"]),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("Meta Tech Drawdown (2022)", "ReasoningPath_030", "CONFIRMS", ["valuation compression", "tech fragility"]),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("Meta Tech Drawdown (2022)", "ReasoningPath_029", "REPEATS", ["multiple reset", "guidance gap"]),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("Japan YCC Exit (2023)", "ReasoningPath_033", "VOL_EXPANSION_TRIGGER", ["cross-asset vol regime", "carry unwind"]),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("Japan YCC Exit (2023)", "ReasoningPath_027_v2", "ALIGNS_WITH", ["global bond fragility", "FX spread spike"])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source, target, rel, tags in links: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kg.create_relationship(source, target, rel)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 tag in tags: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kg.create_node("Tag", {"name": tag})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kg.create_relationship(source, tag, "TAGGED_WITH")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kg.create_relationship(target, tag, "THEMATICALLY_LINKED")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Usage: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kg = FinancialKnowledgeGraph("bolt://localhost:7687", "neo4j", "password")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add_modern_macro_event_nodes(kg)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kg.close()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