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 xml:space="preserve">This quarter went </w:t>
      </w:r>
      <w:r>
        <w:rPr>
          <w:b/>
        </w:rPr>
        <w:t>well</w:t>
      </w:r>
      <w:r>
        <w:rPr/>
        <w:t xml:space="preserve">, and </w:t>
      </w:r>
      <w:r>
        <w:rPr>
          <w:i/>
        </w:rPr>
        <w:t>better than planned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Highlights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Revenue up 12%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Two new clients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Hire a designer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 the Lisbon office</w:t>
      </w:r>
    </w:p>
    <w:tbl>
      <w:tblPr>
        <w:tblW w:w="181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466"/>
        <w:gridCol w:w="511"/>
      </w:tblGrid>
      <w:tr>
        <w:trPr/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Region</w:t>
            </w:r>
          </w:p>
        </w:tc>
        <w:tc>
          <w:tcPr>
            <w:tcW w:w="4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Q1</w:t>
            </w:r>
          </w:p>
        </w:tc>
        <w:tc>
          <w:tcPr>
            <w:tcW w:w="5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Q2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North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5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140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South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</w:t>
            </w:r>
          </w:p>
        </w:tc>
        <w:tc>
          <w:tcPr>
            <w:tcW w:w="5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  <w:t>Signed, the board &amp; staff &lt;team&gt;.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