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64.png" ContentType="image/png"/>
  <Override PartName="/word/media/rId21.png" ContentType="image/png"/>
  <Override PartName="/word/media/rId37.png" ContentType="image/png"/>
  <Override PartName="/word/media/rId27.png" ContentType="image/png"/>
  <Override PartName="/word/media/rId24.png" ContentType="image/png"/>
  <Override PartName="/word/media/rId77.png" ContentType="image/png"/>
  <Override PartName="/word/media/rId44.png" ContentType="image/png"/>
  <Override PartName="/word/media/rId31.png" ContentType="image/png"/>
  <Override PartName="/word/media/rId52.png" ContentType="image/png"/>
  <Override PartName="/word/media/rId34.png" ContentType="image/png"/>
  <Override PartName="/word/media/rId41.png" ContentType="image/png"/>
  <Override PartName="/word/media/rId74.png" ContentType="image/png"/>
  <Override PartName="/word/media/rId8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BDA Project - Credit Risk Analysis</w:t>
      </w:r>
    </w:p>
    <w:p>
      <w:pPr>
        <w:pStyle w:val="Author"/>
      </w:pPr>
      <w:r>
        <w:t xml:space="preserve">An Do, Nam Bui, Ayush Pradhan</w:t>
      </w:r>
    </w:p>
    <w:p>
      <w:pPr>
        <w:pStyle w:val="Date"/>
      </w:pPr>
      <w:r>
        <w:t xml:space="preserve">November 2025</w:t>
      </w:r>
    </w:p>
    <w:bookmarkStart w:id="20" w:name="introduction"/>
    <w:p>
      <w:pPr>
        <w:pStyle w:val="Heading1"/>
      </w:pPr>
      <w:r>
        <w:t xml:space="preserve">Introduction</w:t>
      </w:r>
    </w:p>
    <w:p>
      <w:pPr>
        <w:pStyle w:val="FirstParagraph"/>
      </w:pPr>
      <w:r>
        <w:t xml:space="preserve">Credit provision (handing out loans) is a fundamental function of banking institutions. A loan is essentially a sum of money or other assets provided to a borrower with the expectation of repayment in the future, including the original amount plus any interest or fees. Loans can take various forms and serve multiple purposes, such as financing consumption, business ventures, or investments. They also play a vital role in economic growth by increasing liquidity and supporting new business activities.</w:t>
      </w:r>
    </w:p>
    <w:p>
      <w:pPr>
        <w:pStyle w:val="BodyText"/>
      </w:pPr>
      <w:r>
        <w:t xml:space="preserve">However, credit transactions inherently carry the risk that borrowers may fail to meet their repayment obligations, a phenomenon known as credit default or credit risk (Altman &amp; Saunders, 1997). When a bank receives a loan application, it must decide whether to approve or reject it based on the applicant’s profile. This decision involves two key risks: if a good credit risk is rejected, the bank loses a business opportunity; if a bad credit risk is approved, the bank faces potential financial loss. Accurate assessment of credit risk is therefore crucial, as misjudgment can lead to significant financial losses, institutional instability, and broader systemic consequences, as seen during the 2007–2008 financial crisis (Crouhy et al., 2014).</w:t>
      </w:r>
    </w:p>
    <w:p>
      <w:pPr>
        <w:pStyle w:val="BodyText"/>
      </w:pPr>
      <w:r>
        <w:t xml:space="preserve">We chose this project because effective risk management is vital for the stability and profitability of banking institutions. Optimizing the process of detecting high-risk borrowers can help minimize losses and maximize returns, therefore, making lending decisions faster and more reliable.</w:t>
      </w:r>
    </w:p>
    <w:p>
      <w:pPr>
        <w:pStyle w:val="BodyText"/>
      </w:pPr>
      <w:r>
        <w:t xml:space="preserve">Our project addresses the binary classification problem of credit risk assessment: determining whether a loan application should be classified as low-risk or high-risk (default) based on borrower characteristics and loan features. To model this, we employ both pooled logistic regression and hierarchical logistic regression, which are well-suited to the binary nature of loan outcomes.</w:t>
      </w:r>
    </w:p>
    <w:bookmarkEnd w:id="20"/>
    <w:bookmarkStart w:id="56" w:name="data-description"/>
    <w:p>
      <w:pPr>
        <w:pStyle w:val="Heading1"/>
      </w:pPr>
      <w:r>
        <w:t xml:space="preserve">Data Description</w:t>
      </w:r>
    </w:p>
    <w:bookmarkStart w:id="51" w:name="data-overview"/>
    <w:p>
      <w:pPr>
        <w:pStyle w:val="Heading2"/>
      </w:pPr>
      <w:r>
        <w:t xml:space="preserve">Data Overview</w:t>
      </w:r>
    </w:p>
    <w:p>
      <w:pPr>
        <w:pStyle w:val="FirstParagraph"/>
      </w:pPr>
      <w:r>
        <w:t xml:space="preserve">Firstly, the histograms of the feature variables with regards to the target variable Risk are examined.</w:t>
      </w:r>
    </w:p>
    <w:bookmarkStart w:id="30" w:name="section"/>
    <w:p>
      <w:pPr>
        <w:pStyle w:val="Heading3"/>
      </w:pPr>
      <w:r>
        <w:drawing>
          <wp:inline>
            <wp:extent cx="1905000" cy="1613502"/>
            <wp:effectExtent b="0" l="0" r="0" t="0"/>
            <wp:docPr descr="" title="" id="22" name="Picture"/>
            <a:graphic>
              <a:graphicData uri="http://schemas.openxmlformats.org/drawingml/2006/picture">
                <pic:pic>
                  <pic:nvPicPr>
                    <pic:cNvPr descr="images/clipboard-1012796254.png" id="23" name="Picture"/>
                    <pic:cNvPicPr>
                      <a:picLocks noChangeArrowheads="1" noChangeAspect="1"/>
                    </pic:cNvPicPr>
                  </pic:nvPicPr>
                  <pic:blipFill>
                    <a:blip r:embed="rId21"/>
                    <a:stretch>
                      <a:fillRect/>
                    </a:stretch>
                  </pic:blipFill>
                  <pic:spPr bwMode="auto">
                    <a:xfrm>
                      <a:off x="0" y="0"/>
                      <a:ext cx="1905000" cy="1613502"/>
                    </a:xfrm>
                    <a:prstGeom prst="rect">
                      <a:avLst/>
                    </a:prstGeom>
                    <a:noFill/>
                    <a:ln w="9525">
                      <a:noFill/>
                      <a:headEnd/>
                      <a:tailEnd/>
                    </a:ln>
                  </pic:spPr>
                </pic:pic>
              </a:graphicData>
            </a:graphic>
          </wp:inline>
        </w:drawing>
      </w:r>
      <w:r>
        <w:drawing>
          <wp:inline>
            <wp:extent cx="1905000" cy="1613502"/>
            <wp:effectExtent b="0" l="0" r="0" t="0"/>
            <wp:docPr descr="" title="" id="25" name="Picture"/>
            <a:graphic>
              <a:graphicData uri="http://schemas.openxmlformats.org/drawingml/2006/picture">
                <pic:pic>
                  <pic:nvPicPr>
                    <pic:cNvPr descr="images/clipboard-2392276790.png" id="26" name="Picture"/>
                    <pic:cNvPicPr>
                      <a:picLocks noChangeArrowheads="1" noChangeAspect="1"/>
                    </pic:cNvPicPr>
                  </pic:nvPicPr>
                  <pic:blipFill>
                    <a:blip r:embed="rId24"/>
                    <a:stretch>
                      <a:fillRect/>
                    </a:stretch>
                  </pic:blipFill>
                  <pic:spPr bwMode="auto">
                    <a:xfrm>
                      <a:off x="0" y="0"/>
                      <a:ext cx="1905000" cy="1613502"/>
                    </a:xfrm>
                    <a:prstGeom prst="rect">
                      <a:avLst/>
                    </a:prstGeom>
                    <a:noFill/>
                    <a:ln w="9525">
                      <a:noFill/>
                      <a:headEnd/>
                      <a:tailEnd/>
                    </a:ln>
                  </pic:spPr>
                </pic:pic>
              </a:graphicData>
            </a:graphic>
          </wp:inline>
        </w:drawing>
      </w:r>
      <w:r>
        <w:drawing>
          <wp:inline>
            <wp:extent cx="1905000" cy="1613502"/>
            <wp:effectExtent b="0" l="0" r="0" t="0"/>
            <wp:docPr descr="" title="" id="28" name="Picture"/>
            <a:graphic>
              <a:graphicData uri="http://schemas.openxmlformats.org/drawingml/2006/picture">
                <pic:pic>
                  <pic:nvPicPr>
                    <pic:cNvPr descr="images/clipboard-1561328457.png" id="29" name="Picture"/>
                    <pic:cNvPicPr>
                      <a:picLocks noChangeArrowheads="1" noChangeAspect="1"/>
                    </pic:cNvPicPr>
                  </pic:nvPicPr>
                  <pic:blipFill>
                    <a:blip r:embed="rId27"/>
                    <a:stretch>
                      <a:fillRect/>
                    </a:stretch>
                  </pic:blipFill>
                  <pic:spPr bwMode="auto">
                    <a:xfrm>
                      <a:off x="0" y="0"/>
                      <a:ext cx="1905000" cy="1613502"/>
                    </a:xfrm>
                    <a:prstGeom prst="rect">
                      <a:avLst/>
                    </a:prstGeom>
                    <a:noFill/>
                    <a:ln w="9525">
                      <a:noFill/>
                      <a:headEnd/>
                      <a:tailEnd/>
                    </a:ln>
                  </pic:spPr>
                </pic:pic>
              </a:graphicData>
            </a:graphic>
          </wp:inline>
        </w:drawing>
      </w:r>
    </w:p>
    <w:bookmarkEnd w:id="30"/>
    <w:bookmarkStart w:id="40" w:name="section-1"/>
    <w:p>
      <w:pPr>
        <w:pStyle w:val="Heading3"/>
      </w:pPr>
      <w:r>
        <w:drawing>
          <wp:inline>
            <wp:extent cx="1905000" cy="1613502"/>
            <wp:effectExtent b="0" l="0" r="0" t="0"/>
            <wp:docPr descr="" title="" id="32" name="Picture"/>
            <a:graphic>
              <a:graphicData uri="http://schemas.openxmlformats.org/drawingml/2006/picture">
                <pic:pic>
                  <pic:nvPicPr>
                    <pic:cNvPr descr="images/clipboard-289371096.png" id="33" name="Picture"/>
                    <pic:cNvPicPr>
                      <a:picLocks noChangeArrowheads="1" noChangeAspect="1"/>
                    </pic:cNvPicPr>
                  </pic:nvPicPr>
                  <pic:blipFill>
                    <a:blip r:embed="rId31"/>
                    <a:stretch>
                      <a:fillRect/>
                    </a:stretch>
                  </pic:blipFill>
                  <pic:spPr bwMode="auto">
                    <a:xfrm>
                      <a:off x="0" y="0"/>
                      <a:ext cx="1905000" cy="1613502"/>
                    </a:xfrm>
                    <a:prstGeom prst="rect">
                      <a:avLst/>
                    </a:prstGeom>
                    <a:noFill/>
                    <a:ln w="9525">
                      <a:noFill/>
                      <a:headEnd/>
                      <a:tailEnd/>
                    </a:ln>
                  </pic:spPr>
                </pic:pic>
              </a:graphicData>
            </a:graphic>
          </wp:inline>
        </w:drawing>
      </w:r>
      <w:r>
        <w:drawing>
          <wp:inline>
            <wp:extent cx="1905000" cy="1613502"/>
            <wp:effectExtent b="0" l="0" r="0" t="0"/>
            <wp:docPr descr="" title="" id="35" name="Picture"/>
            <a:graphic>
              <a:graphicData uri="http://schemas.openxmlformats.org/drawingml/2006/picture">
                <pic:pic>
                  <pic:nvPicPr>
                    <pic:cNvPr descr="images/clipboard-3022481205.png" id="36" name="Picture"/>
                    <pic:cNvPicPr>
                      <a:picLocks noChangeArrowheads="1" noChangeAspect="1"/>
                    </pic:cNvPicPr>
                  </pic:nvPicPr>
                  <pic:blipFill>
                    <a:blip r:embed="rId34"/>
                    <a:stretch>
                      <a:fillRect/>
                    </a:stretch>
                  </pic:blipFill>
                  <pic:spPr bwMode="auto">
                    <a:xfrm>
                      <a:off x="0" y="0"/>
                      <a:ext cx="1905000" cy="1613502"/>
                    </a:xfrm>
                    <a:prstGeom prst="rect">
                      <a:avLst/>
                    </a:prstGeom>
                    <a:noFill/>
                    <a:ln w="9525">
                      <a:noFill/>
                      <a:headEnd/>
                      <a:tailEnd/>
                    </a:ln>
                  </pic:spPr>
                </pic:pic>
              </a:graphicData>
            </a:graphic>
          </wp:inline>
        </w:drawing>
      </w:r>
      <w:r>
        <w:drawing>
          <wp:inline>
            <wp:extent cx="1905000" cy="1613502"/>
            <wp:effectExtent b="0" l="0" r="0" t="0"/>
            <wp:docPr descr="" title="" id="38" name="Picture"/>
            <a:graphic>
              <a:graphicData uri="http://schemas.openxmlformats.org/drawingml/2006/picture">
                <pic:pic>
                  <pic:nvPicPr>
                    <pic:cNvPr descr="images/clipboard-125611700.png" id="39" name="Picture"/>
                    <pic:cNvPicPr>
                      <a:picLocks noChangeArrowheads="1" noChangeAspect="1"/>
                    </pic:cNvPicPr>
                  </pic:nvPicPr>
                  <pic:blipFill>
                    <a:blip r:embed="rId37"/>
                    <a:stretch>
                      <a:fillRect/>
                    </a:stretch>
                  </pic:blipFill>
                  <pic:spPr bwMode="auto">
                    <a:xfrm>
                      <a:off x="0" y="0"/>
                      <a:ext cx="1905000" cy="1613502"/>
                    </a:xfrm>
                    <a:prstGeom prst="rect">
                      <a:avLst/>
                    </a:prstGeom>
                    <a:noFill/>
                    <a:ln w="9525">
                      <a:noFill/>
                      <a:headEnd/>
                      <a:tailEnd/>
                    </a:ln>
                  </pic:spPr>
                </pic:pic>
              </a:graphicData>
            </a:graphic>
          </wp:inline>
        </w:drawing>
      </w:r>
    </w:p>
    <w:bookmarkEnd w:id="40"/>
    <w:bookmarkStart w:id="50" w:name="section-2"/>
    <w:p>
      <w:pPr>
        <w:pStyle w:val="Heading3"/>
      </w:pPr>
      <w:r>
        <w:drawing>
          <wp:inline>
            <wp:extent cx="1905000" cy="1613502"/>
            <wp:effectExtent b="0" l="0" r="0" t="0"/>
            <wp:docPr descr="" title="" id="42" name="Picture"/>
            <a:graphic>
              <a:graphicData uri="http://schemas.openxmlformats.org/drawingml/2006/picture">
                <pic:pic>
                  <pic:nvPicPr>
                    <pic:cNvPr descr="images/clipboard-3186932838.png" id="43" name="Picture"/>
                    <pic:cNvPicPr>
                      <a:picLocks noChangeArrowheads="1" noChangeAspect="1"/>
                    </pic:cNvPicPr>
                  </pic:nvPicPr>
                  <pic:blipFill>
                    <a:blip r:embed="rId41"/>
                    <a:stretch>
                      <a:fillRect/>
                    </a:stretch>
                  </pic:blipFill>
                  <pic:spPr bwMode="auto">
                    <a:xfrm>
                      <a:off x="0" y="0"/>
                      <a:ext cx="1905000" cy="1613502"/>
                    </a:xfrm>
                    <a:prstGeom prst="rect">
                      <a:avLst/>
                    </a:prstGeom>
                    <a:noFill/>
                    <a:ln w="9525">
                      <a:noFill/>
                      <a:headEnd/>
                      <a:tailEnd/>
                    </a:ln>
                  </pic:spPr>
                </pic:pic>
              </a:graphicData>
            </a:graphic>
          </wp:inline>
        </w:drawing>
      </w:r>
      <w:r>
        <w:drawing>
          <wp:inline>
            <wp:extent cx="1905000" cy="1613502"/>
            <wp:effectExtent b="0" l="0" r="0" t="0"/>
            <wp:docPr descr="" title="" id="45" name="Picture"/>
            <a:graphic>
              <a:graphicData uri="http://schemas.openxmlformats.org/drawingml/2006/picture">
                <pic:pic>
                  <pic:nvPicPr>
                    <pic:cNvPr descr="images/clipboard-2486324767.png" id="46" name="Picture"/>
                    <pic:cNvPicPr>
                      <a:picLocks noChangeArrowheads="1" noChangeAspect="1"/>
                    </pic:cNvPicPr>
                  </pic:nvPicPr>
                  <pic:blipFill>
                    <a:blip r:embed="rId44"/>
                    <a:stretch>
                      <a:fillRect/>
                    </a:stretch>
                  </pic:blipFill>
                  <pic:spPr bwMode="auto">
                    <a:xfrm>
                      <a:off x="0" y="0"/>
                      <a:ext cx="1905000" cy="1613502"/>
                    </a:xfrm>
                    <a:prstGeom prst="rect">
                      <a:avLst/>
                    </a:prstGeom>
                    <a:noFill/>
                    <a:ln w="9525">
                      <a:noFill/>
                      <a:headEnd/>
                      <a:tailEnd/>
                    </a:ln>
                  </pic:spPr>
                </pic:pic>
              </a:graphicData>
            </a:graphic>
          </wp:inline>
        </w:drawing>
      </w:r>
      <w:r>
        <w:drawing>
          <wp:inline>
            <wp:extent cx="1905000" cy="1613502"/>
            <wp:effectExtent b="0" l="0" r="0" t="0"/>
            <wp:docPr descr="" title="" id="48" name="Picture"/>
            <a:graphic>
              <a:graphicData uri="http://schemas.openxmlformats.org/drawingml/2006/picture">
                <pic:pic>
                  <pic:nvPicPr>
                    <pic:cNvPr descr="images/clipboard-683043440.png" id="49" name="Picture"/>
                    <pic:cNvPicPr>
                      <a:picLocks noChangeArrowheads="1" noChangeAspect="1"/>
                    </pic:cNvPicPr>
                  </pic:nvPicPr>
                  <pic:blipFill>
                    <a:blip r:embed="rId47"/>
                    <a:stretch>
                      <a:fillRect/>
                    </a:stretch>
                  </pic:blipFill>
                  <pic:spPr bwMode="auto">
                    <a:xfrm>
                      <a:off x="0" y="0"/>
                      <a:ext cx="1905000" cy="1613502"/>
                    </a:xfrm>
                    <a:prstGeom prst="rect">
                      <a:avLst/>
                    </a:prstGeom>
                    <a:noFill/>
                    <a:ln w="9525">
                      <a:noFill/>
                      <a:headEnd/>
                      <a:tailEnd/>
                    </a:ln>
                  </pic:spPr>
                </pic:pic>
              </a:graphicData>
            </a:graphic>
          </wp:inline>
        </w:drawing>
      </w:r>
    </w:p>
    <w:p>
      <w:pPr>
        <w:pStyle w:val="FirstParagraph"/>
      </w:pPr>
      <w:r>
        <w:t xml:space="preserve">The data also contains some missing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Proportion Missing</w:t>
            </w:r>
          </w:p>
        </w:tc>
      </w:tr>
      <w:tr>
        <w:tc>
          <w:tcPr/>
          <w:p>
            <w:pPr>
              <w:pStyle w:val="Compact"/>
            </w:pPr>
            <w:r>
              <w:t xml:space="preserve">X</w:t>
            </w:r>
          </w:p>
        </w:tc>
        <w:tc>
          <w:tcPr/>
          <w:p>
            <w:pPr>
              <w:pStyle w:val="Compact"/>
            </w:pPr>
            <w:r>
              <w:t xml:space="preserve">0.000</w:t>
            </w:r>
          </w:p>
        </w:tc>
      </w:tr>
      <w:tr>
        <w:tc>
          <w:tcPr/>
          <w:p>
            <w:pPr>
              <w:pStyle w:val="Compact"/>
            </w:pPr>
            <w:r>
              <w:t xml:space="preserve">Age</w:t>
            </w:r>
          </w:p>
        </w:tc>
        <w:tc>
          <w:tcPr/>
          <w:p>
            <w:pPr>
              <w:pStyle w:val="Compact"/>
            </w:pPr>
            <w:r>
              <w:t xml:space="preserve">0.000</w:t>
            </w:r>
          </w:p>
        </w:tc>
      </w:tr>
      <w:tr>
        <w:tc>
          <w:tcPr/>
          <w:p>
            <w:pPr>
              <w:pStyle w:val="Compact"/>
            </w:pPr>
            <w:r>
              <w:t xml:space="preserve">Sex</w:t>
            </w:r>
          </w:p>
        </w:tc>
        <w:tc>
          <w:tcPr/>
          <w:p>
            <w:pPr>
              <w:pStyle w:val="Compact"/>
            </w:pPr>
            <w:r>
              <w:t xml:space="preserve">0.000</w:t>
            </w:r>
          </w:p>
        </w:tc>
      </w:tr>
      <w:tr>
        <w:tc>
          <w:tcPr/>
          <w:p>
            <w:pPr>
              <w:pStyle w:val="Compact"/>
            </w:pPr>
            <w:r>
              <w:t xml:space="preserve">Job</w:t>
            </w:r>
          </w:p>
        </w:tc>
        <w:tc>
          <w:tcPr/>
          <w:p>
            <w:pPr>
              <w:pStyle w:val="Compact"/>
            </w:pPr>
            <w:r>
              <w:t xml:space="preserve">0.000</w:t>
            </w:r>
          </w:p>
        </w:tc>
      </w:tr>
      <w:tr>
        <w:tc>
          <w:tcPr/>
          <w:p>
            <w:pPr>
              <w:pStyle w:val="Compact"/>
            </w:pPr>
            <w:r>
              <w:t xml:space="preserve">Housing</w:t>
            </w:r>
          </w:p>
        </w:tc>
        <w:tc>
          <w:tcPr/>
          <w:p>
            <w:pPr>
              <w:pStyle w:val="Compact"/>
            </w:pPr>
            <w:r>
              <w:t xml:space="preserve">0.000</w:t>
            </w:r>
          </w:p>
        </w:tc>
      </w:tr>
      <w:tr>
        <w:tc>
          <w:tcPr/>
          <w:p>
            <w:pPr>
              <w:pStyle w:val="Compact"/>
            </w:pPr>
            <w:r>
              <w:t xml:space="preserve">Saving.accounts</w:t>
            </w:r>
          </w:p>
        </w:tc>
        <w:tc>
          <w:tcPr/>
          <w:p>
            <w:pPr>
              <w:pStyle w:val="Compact"/>
            </w:pPr>
            <w:r>
              <w:t xml:space="preserve">0.183</w:t>
            </w:r>
          </w:p>
        </w:tc>
      </w:tr>
      <w:tr>
        <w:tc>
          <w:tcPr/>
          <w:p>
            <w:pPr>
              <w:pStyle w:val="Compact"/>
            </w:pPr>
            <w:r>
              <w:t xml:space="preserve">Checking.account</w:t>
            </w:r>
          </w:p>
        </w:tc>
        <w:tc>
          <w:tcPr/>
          <w:p>
            <w:pPr>
              <w:pStyle w:val="Compact"/>
            </w:pPr>
            <w:r>
              <w:t xml:space="preserve">0.394</w:t>
            </w:r>
          </w:p>
        </w:tc>
      </w:tr>
      <w:tr>
        <w:tc>
          <w:tcPr/>
          <w:p>
            <w:pPr>
              <w:pStyle w:val="Compact"/>
            </w:pPr>
            <w:r>
              <w:t xml:space="preserve">Credit.amount</w:t>
            </w:r>
          </w:p>
        </w:tc>
        <w:tc>
          <w:tcPr/>
          <w:p>
            <w:pPr>
              <w:pStyle w:val="Compact"/>
            </w:pPr>
            <w:r>
              <w:t xml:space="preserve">0.000</w:t>
            </w:r>
          </w:p>
        </w:tc>
      </w:tr>
      <w:tr>
        <w:tc>
          <w:tcPr/>
          <w:p>
            <w:pPr>
              <w:pStyle w:val="Compact"/>
            </w:pPr>
            <w:r>
              <w:t xml:space="preserve">Duration</w:t>
            </w:r>
          </w:p>
        </w:tc>
        <w:tc>
          <w:tcPr/>
          <w:p>
            <w:pPr>
              <w:pStyle w:val="Compact"/>
            </w:pPr>
            <w:r>
              <w:t xml:space="preserve">0.000</w:t>
            </w:r>
          </w:p>
        </w:tc>
      </w:tr>
      <w:tr>
        <w:tc>
          <w:tcPr/>
          <w:p>
            <w:pPr>
              <w:pStyle w:val="Compact"/>
            </w:pPr>
            <w:r>
              <w:t xml:space="preserve">Purpose</w:t>
            </w:r>
          </w:p>
        </w:tc>
        <w:tc>
          <w:tcPr/>
          <w:p>
            <w:pPr>
              <w:pStyle w:val="Compact"/>
            </w:pPr>
            <w:r>
              <w:t xml:space="preserve">0.000</w:t>
            </w:r>
          </w:p>
        </w:tc>
      </w:tr>
      <w:tr>
        <w:tc>
          <w:tcPr/>
          <w:p>
            <w:pPr>
              <w:pStyle w:val="Compact"/>
            </w:pPr>
            <w:r>
              <w:t xml:space="preserve">Risk</w:t>
            </w:r>
          </w:p>
        </w:tc>
        <w:tc>
          <w:tcPr/>
          <w:p>
            <w:pPr>
              <w:pStyle w:val="Compact"/>
            </w:pPr>
            <w:r>
              <w:t xml:space="preserve">0.000</w:t>
            </w:r>
          </w:p>
        </w:tc>
      </w:tr>
    </w:tbl>
    <w:p>
      <w:pPr>
        <w:pStyle w:val="BodyText"/>
      </w:pPr>
      <w:r>
        <w:t xml:space="preserve">From the histograms, three main issues were identified in the dataset: missing values in</w:t>
      </w:r>
      <w:r>
        <w:t xml:space="preserve"> </w:t>
      </w:r>
      <w:r>
        <w:rPr>
          <w:i/>
          <w:iCs/>
        </w:rPr>
        <w:t xml:space="preserve">Saving.accounts</w:t>
      </w:r>
      <w:r>
        <w:t xml:space="preserve"> </w:t>
      </w:r>
      <w:r>
        <w:t xml:space="preserve">and</w:t>
      </w:r>
      <w:r>
        <w:t xml:space="preserve"> </w:t>
      </w:r>
      <w:r>
        <w:rPr>
          <w:i/>
          <w:iCs/>
        </w:rPr>
        <w:t xml:space="preserve">Checking.account</w:t>
      </w:r>
      <w:r>
        <w:t xml:space="preserve">, category mismatches between these two columns, and dispersed data in</w:t>
      </w:r>
      <w:r>
        <w:t xml:space="preserve"> </w:t>
      </w:r>
      <w:r>
        <w:rPr>
          <w:i/>
          <w:iCs/>
        </w:rPr>
        <w:t xml:space="preserve">Purpose</w:t>
      </w:r>
      <w:r>
        <w:t xml:space="preserve">.</w:t>
      </w:r>
    </w:p>
    <w:p>
      <w:pPr>
        <w:pStyle w:val="BodyText"/>
      </w:pPr>
      <w:r>
        <w:t xml:space="preserve">The dataset contains 18.3% missing values in</w:t>
      </w:r>
      <w:r>
        <w:t xml:space="preserve"> </w:t>
      </w:r>
      <w:r>
        <w:rPr>
          <w:i/>
          <w:iCs/>
        </w:rPr>
        <w:t xml:space="preserve">Saving.accounts</w:t>
      </w:r>
      <w:r>
        <w:t xml:space="preserve"> </w:t>
      </w:r>
      <w:r>
        <w:t xml:space="preserve">and 39.4% in</w:t>
      </w:r>
      <w:r>
        <w:t xml:space="preserve"> </w:t>
      </w:r>
      <w:r>
        <w:rPr>
          <w:i/>
          <w:iCs/>
        </w:rPr>
        <w:t xml:space="preserve">Checking.account</w:t>
      </w:r>
      <w:r>
        <w:t xml:space="preserve">. Deleting these entries or imputing them with the mode could distort the data distribution and remove potentially important information, as missing accounts may predict credit risk. To address this,</w:t>
      </w:r>
      <w:r>
        <w:t xml:space="preserve"> </w:t>
      </w:r>
      <w:r>
        <w:rPr>
          <w:b/>
          <w:bCs/>
        </w:rPr>
        <w:t xml:space="preserve">k-Nearest Neighbors (kNN) imputation</w:t>
      </w:r>
      <w:r>
        <w:t xml:space="preserve"> </w:t>
      </w:r>
      <w:r>
        <w:t xml:space="preserve">was applied which estimates missing values based on the similarity to other observations, preserving the underlying patterns in the data.</w:t>
      </w:r>
    </w:p>
    <w:p>
      <w:pPr>
        <w:pStyle w:val="BodyText"/>
      </w:pPr>
      <w:r>
        <w:t xml:space="preserve">In terms of category mismatches, both</w:t>
      </w:r>
      <w:r>
        <w:t xml:space="preserve"> </w:t>
      </w:r>
      <w:r>
        <w:rPr>
          <w:i/>
          <w:iCs/>
        </w:rPr>
        <w:t xml:space="preserve">Saving.accounts</w:t>
      </w:r>
      <w:r>
        <w:t xml:space="preserve"> </w:t>
      </w:r>
      <w:r>
        <w:t xml:space="preserve">and</w:t>
      </w:r>
      <w:r>
        <w:t xml:space="preserve"> </w:t>
      </w:r>
      <w:r>
        <w:rPr>
          <w:i/>
          <w:iCs/>
        </w:rPr>
        <w:t xml:space="preserve">Checking.account</w:t>
      </w:r>
      <w:r>
        <w:t xml:space="preserve"> </w:t>
      </w:r>
      <w:r>
        <w:t xml:space="preserve">share the categories</w:t>
      </w:r>
      <w:r>
        <w:t xml:space="preserve"> </w:t>
      </w:r>
      <w:r>
        <w:rPr>
          <w:rStyle w:val="VerbatimChar"/>
        </w:rPr>
        <w:t xml:space="preserve">'little'</w:t>
      </w:r>
      <w:r>
        <w:t xml:space="preserve">,</w:t>
      </w:r>
      <w:r>
        <w:t xml:space="preserve"> </w:t>
      </w:r>
      <w:r>
        <w:rPr>
          <w:rStyle w:val="VerbatimChar"/>
        </w:rPr>
        <w:t xml:space="preserve">'moderate'</w:t>
      </w:r>
      <w:r>
        <w:t xml:space="preserve">, and</w:t>
      </w:r>
      <w:r>
        <w:t xml:space="preserve"> </w:t>
      </w:r>
      <w:r>
        <w:rPr>
          <w:rStyle w:val="VerbatimChar"/>
        </w:rPr>
        <w:t xml:space="preserve">'rich'</w:t>
      </w:r>
      <w:r>
        <w:t xml:space="preserve">, but</w:t>
      </w:r>
      <w:r>
        <w:t xml:space="preserve"> </w:t>
      </w:r>
      <w:r>
        <w:rPr>
          <w:i/>
          <w:iCs/>
        </w:rPr>
        <w:t xml:space="preserve">Saving.accounts</w:t>
      </w:r>
      <w:r>
        <w:t xml:space="preserve"> </w:t>
      </w:r>
      <w:r>
        <w:t xml:space="preserve">includes an additional</w:t>
      </w:r>
      <w:r>
        <w:t xml:space="preserve"> </w:t>
      </w:r>
      <w:r>
        <w:rPr>
          <w:rStyle w:val="VerbatimChar"/>
        </w:rPr>
        <w:t xml:space="preserve">'quite rich'</w:t>
      </w:r>
      <w:r>
        <w:t xml:space="preserve"> </w:t>
      </w:r>
      <w:r>
        <w:t xml:space="preserve">category. All</w:t>
      </w:r>
      <w:r>
        <w:t xml:space="preserve"> </w:t>
      </w:r>
      <w:r>
        <w:rPr>
          <w:rStyle w:val="VerbatimChar"/>
        </w:rPr>
        <w:t xml:space="preserve">'quite rich'</w:t>
      </w:r>
      <w:r>
        <w:t xml:space="preserve"> </w:t>
      </w:r>
      <w:r>
        <w:t xml:space="preserve">values were recoded as</w:t>
      </w:r>
      <w:r>
        <w:t xml:space="preserve"> </w:t>
      </w:r>
      <w:r>
        <w:rPr>
          <w:rStyle w:val="VerbatimChar"/>
        </w:rPr>
        <w:t xml:space="preserve">'rich'</w:t>
      </w:r>
      <w:r>
        <w:t xml:space="preserve"> </w:t>
      </w:r>
      <w:r>
        <w:t xml:space="preserve">to ensure consistency.</w:t>
      </w:r>
    </w:p>
    <w:p>
      <w:pPr>
        <w:pStyle w:val="BodyText"/>
      </w:pPr>
      <w:r>
        <w:t xml:space="preserve">The</w:t>
      </w:r>
      <w:r>
        <w:t xml:space="preserve"> </w:t>
      </w:r>
      <w:r>
        <w:rPr>
          <w:i/>
          <w:iCs/>
        </w:rPr>
        <w:t xml:space="preserve">Purpose</w:t>
      </w:r>
      <w:r>
        <w:t xml:space="preserve"> </w:t>
      </w:r>
      <w:r>
        <w:t xml:space="preserve">column is highly dispersed, with several low-population categories such as</w:t>
      </w:r>
      <w:r>
        <w:t xml:space="preserve"> </w:t>
      </w:r>
      <w:r>
        <w:rPr>
          <w:rStyle w:val="VerbatimChar"/>
        </w:rPr>
        <w:t xml:space="preserve">'repairs'</w:t>
      </w:r>
      <w:r>
        <w:t xml:space="preserve"> </w:t>
      </w:r>
      <w:r>
        <w:t xml:space="preserve">and</w:t>
      </w:r>
      <w:r>
        <w:t xml:space="preserve"> </w:t>
      </w:r>
      <w:r>
        <w:rPr>
          <w:rStyle w:val="VerbatimChar"/>
        </w:rPr>
        <w:t xml:space="preserve">'domestic appliances'</w:t>
      </w:r>
      <w:r>
        <w:t xml:space="preserve">. To reduce sparsity, these categories were merged into</w:t>
      </w:r>
      <w:r>
        <w:t xml:space="preserve"> </w:t>
      </w:r>
      <w:r>
        <w:rPr>
          <w:rStyle w:val="VerbatimChar"/>
        </w:rPr>
        <w:t xml:space="preserve">'furniture/equipment'</w:t>
      </w:r>
      <w:r>
        <w:t xml:space="preserve">, creating more balanced groups.</w:t>
      </w:r>
    </w:p>
    <w:p>
      <w:pPr>
        <w:pStyle w:val="BodyText"/>
      </w:pPr>
      <w:r>
        <w:t xml:space="preserve">To improve model performance and ensure comparability across features, we perform standardization. To standardize, we transform all variables (including the target) to numerical. Then, we scale the explanatory variables them so that their mean = 0 and standard deviation = 1.</w:t>
      </w:r>
    </w:p>
    <w:bookmarkEnd w:id="50"/>
    <w:bookmarkEnd w:id="51"/>
    <w:bookmarkStart w:id="55" w:name="explanatory-variables-analysis"/>
    <w:p>
      <w:pPr>
        <w:pStyle w:val="Heading2"/>
      </w:pPr>
      <w:r>
        <w:t xml:space="preserve">Explanatory Variables Analysis</w:t>
      </w:r>
    </w:p>
    <w:p>
      <w:pPr>
        <w:pStyle w:val="FirstParagraph"/>
      </w:pPr>
      <w:r>
        <w:drawing>
          <wp:inline>
            <wp:extent cx="5334000" cy="3815468"/>
            <wp:effectExtent b="0" l="0" r="0" t="0"/>
            <wp:docPr descr="" title="" id="53" name="Picture"/>
            <a:graphic>
              <a:graphicData uri="http://schemas.openxmlformats.org/drawingml/2006/picture">
                <pic:pic>
                  <pic:nvPicPr>
                    <pic:cNvPr descr="images/clipboard-2944079739.png" id="54" name="Picture"/>
                    <pic:cNvPicPr>
                      <a:picLocks noChangeArrowheads="1" noChangeAspect="1"/>
                    </pic:cNvPicPr>
                  </pic:nvPicPr>
                  <pic:blipFill>
                    <a:blip r:embed="rId52"/>
                    <a:stretch>
                      <a:fillRect/>
                    </a:stretch>
                  </pic:blipFill>
                  <pic:spPr bwMode="auto">
                    <a:xfrm>
                      <a:off x="0" y="0"/>
                      <a:ext cx="5334000" cy="3815468"/>
                    </a:xfrm>
                    <a:prstGeom prst="rect">
                      <a:avLst/>
                    </a:prstGeom>
                    <a:noFill/>
                    <a:ln w="9525">
                      <a:noFill/>
                      <a:headEnd/>
                      <a:tailEnd/>
                    </a:ln>
                  </pic:spPr>
                </pic:pic>
              </a:graphicData>
            </a:graphic>
          </wp:inline>
        </w:drawing>
      </w:r>
    </w:p>
    <w:bookmarkEnd w:id="55"/>
    <w:bookmarkEnd w:id="56"/>
    <w:bookmarkStart w:id="63" w:name="models-description"/>
    <w:p>
      <w:pPr>
        <w:pStyle w:val="Heading1"/>
      </w:pPr>
      <w:r>
        <w:t xml:space="preserve">Models Description</w:t>
      </w:r>
    </w:p>
    <w:bookmarkStart w:id="59" w:name="pooled-logistic-regression"/>
    <w:p>
      <w:pPr>
        <w:pStyle w:val="Heading2"/>
      </w:pPr>
      <w:r>
        <w:t xml:space="preserve">Pooled Logistic Regression</w:t>
      </w:r>
    </w:p>
    <w:bookmarkStart w:id="57" w:name="formula"/>
    <w:p>
      <w:pPr>
        <w:pStyle w:val="Heading3"/>
      </w:pPr>
      <w:r>
        <w:t xml:space="preserve">Formula</w:t>
      </w:r>
    </w:p>
    <w:bookmarkEnd w:id="57"/>
    <w:bookmarkStart w:id="58" w:name="priors-justification"/>
    <w:p>
      <w:pPr>
        <w:pStyle w:val="Heading3"/>
      </w:pPr>
      <w:r>
        <w:t xml:space="preserve">Priors justification</w:t>
      </w:r>
    </w:p>
    <w:p>
      <w:pPr>
        <w:pStyle w:val="FirstParagraph"/>
      </w:pPr>
      <w:r>
        <w:t xml:space="preserve">For the</w:t>
      </w:r>
      <w:r>
        <w:t xml:space="preserve"> </w:t>
      </w:r>
      <m:oMath>
        <m:r>
          <m:t>β</m:t>
        </m:r>
      </m:oMath>
      <w:r>
        <w:t xml:space="preserve"> </w:t>
      </w:r>
      <w:r>
        <w:t xml:space="preserve">coefficients, a common choice is to use Normal distributions as priors due to their mathematical convenience and their theoretical justification via the central limit theorem. A typical form is</w:t>
      </w:r>
    </w:p>
    <w:p>
      <w:pPr>
        <w:pStyle w:val="BodyText"/>
      </w:pPr>
      <m:oMathPara>
        <m:oMathParaPr>
          <m:jc m:val="center"/>
        </m:oMathParaPr>
        <m:oMath>
          <m:sSub>
            <m:e>
              <m:r>
                <m:t>β</m:t>
              </m:r>
            </m:e>
            <m:sub>
              <m:r>
                <m:t>i</m:t>
              </m:r>
            </m:sub>
          </m:sSub>
          <m:r>
            <m:rPr>
              <m:sty m:val="p"/>
            </m:rPr>
            <m:t>∼</m:t>
          </m:r>
          <m:r>
            <m:rPr>
              <m:sty m:val="p"/>
              <m:scr m:val="script"/>
            </m:rPr>
            <m:t>N</m:t>
          </m:r>
          <m:d>
            <m:dPr>
              <m:begChr m:val="("/>
              <m:sepChr m:val=""/>
              <m:endChr m:val=")"/>
              <m:grow/>
            </m:dPr>
            <m:e>
              <m:r>
                <m:t>0</m:t>
              </m:r>
              <m:r>
                <m:rPr>
                  <m:sty m:val="p"/>
                </m:rPr>
                <m:t>,</m:t>
              </m:r>
              <m:sSup>
                <m:e>
                  <m:r>
                    <m:t>σ</m:t>
                  </m:r>
                </m:e>
                <m:sup>
                  <m:r>
                    <m:t>2</m:t>
                  </m:r>
                </m:sup>
              </m:sSup>
            </m:e>
          </m:d>
          <m:r>
            <m:rPr>
              <m:sty m:val="p"/>
            </m:rPr>
            <m:t>,</m:t>
          </m:r>
        </m:oMath>
      </m:oMathPara>
    </w:p>
    <w:p>
      <w:pPr>
        <w:pStyle w:val="FirstParagraph"/>
      </w:pPr>
      <w:r>
        <w:t xml:space="preserve">where</w:t>
      </w:r>
      <w:r>
        <w:t xml:space="preserve"> </w:t>
      </w:r>
      <m:oMath>
        <m:sSup>
          <m:e>
            <m:r>
              <m:t>σ</m:t>
            </m:r>
          </m:e>
          <m:sup>
            <m:r>
              <m:t>2</m:t>
            </m:r>
          </m:sup>
        </m:sSup>
      </m:oMath>
      <w:r>
        <w:t xml:space="preserve"> </w:t>
      </w:r>
      <w:r>
        <w:t xml:space="preserve">controls the degree of prior uncertainty.</w:t>
      </w:r>
      <w:r>
        <w:br/>
      </w:r>
      <w:r>
        <w:t xml:space="preserve">In this project, we specify a Normal prior with mean 0 and variance 1 for most of the coefficients. This choice reflects</w:t>
      </w:r>
      <w:r>
        <w:t xml:space="preserve"> </w:t>
      </w:r>
      <w:r>
        <w:rPr>
          <w:b/>
          <w:bCs/>
        </w:rPr>
        <w:t xml:space="preserve">weak prior information</w:t>
      </w:r>
      <w:r>
        <w:t xml:space="preserve">: we do not have strong knowledge about how each predictor influences the outcome, so we adopt a broad prior that allows the data substantial flexibility while still preventing extreme parameter values.</w:t>
      </w:r>
    </w:p>
    <w:bookmarkEnd w:id="58"/>
    <w:bookmarkEnd w:id="59"/>
    <w:bookmarkStart w:id="62" w:name="hierarchical-logistic-regression"/>
    <w:p>
      <w:pPr>
        <w:pStyle w:val="Heading2"/>
      </w:pPr>
      <w:r>
        <w:t xml:space="preserve">Hierarchical Logistic Regression</w:t>
      </w:r>
    </w:p>
    <w:bookmarkStart w:id="60" w:name="formula-1"/>
    <w:p>
      <w:pPr>
        <w:pStyle w:val="Heading3"/>
      </w:pPr>
      <w:r>
        <w:t xml:space="preserve">Formula</w:t>
      </w:r>
    </w:p>
    <w:p>
      <w:pPr>
        <w:pStyle w:val="FirstParagraph"/>
      </w:pPr>
      <w:r>
        <w:t xml:space="preserve">The hierarchical model, though resembling the pooled model in its use of Logistic Regression, is a relatively more complex model. As mentioned in the</w:t>
      </w:r>
      <w:r>
        <w:t xml:space="preserve"> </w:t>
      </w:r>
      <w:r>
        <w:rPr>
          <w:i/>
          <w:iCs/>
        </w:rPr>
        <w:t xml:space="preserve">Explanatory variables analysis</w:t>
      </w:r>
      <w:r>
        <w:t xml:space="preserve"> </w:t>
      </w:r>
      <w:r>
        <w:t xml:space="preserve">section, the data is categorized into</w:t>
      </w:r>
      <w:r>
        <w:t xml:space="preserve"> </w:t>
      </w:r>
      <m:oMath>
        <m:r>
          <m:t>L</m:t>
        </m:r>
      </m:oMath>
      <w:r>
        <w:t xml:space="preserve"> </w:t>
      </w:r>
      <w:r>
        <w:t xml:space="preserve">groups using the categorical data in the Job variable. The coefficients</w:t>
      </w:r>
      <w:r>
        <w:t xml:space="preserve"> </w:t>
      </w:r>
      <m:oMath>
        <m:sSub>
          <m:e>
            <m:r>
              <m:t>β</m:t>
            </m:r>
          </m:e>
          <m:sub>
            <m:r>
              <m:t>0</m:t>
            </m:r>
          </m:sub>
        </m:sSub>
        <m:r>
          <m:rPr>
            <m:sty m:val="p"/>
          </m:rPr>
          <m:t>,</m:t>
        </m:r>
        <m:sSub>
          <m:e>
            <m:r>
              <m:t>β</m:t>
            </m:r>
          </m:e>
          <m:sub>
            <m:r>
              <m:t>1</m:t>
            </m:r>
          </m:sub>
        </m:sSub>
        <m:r>
          <m:rPr>
            <m:sty m:val="p"/>
          </m:rPr>
          <m:t>,</m:t>
        </m:r>
        <m:r>
          <m:rPr>
            <m:sty m:val="p"/>
          </m:rPr>
          <m:t>…</m:t>
        </m:r>
        <m:r>
          <m:rPr>
            <m:sty m:val="p"/>
          </m:rPr>
          <m:t>,</m:t>
        </m:r>
        <m:sSub>
          <m:e>
            <m:r>
              <m:t>β</m:t>
            </m:r>
          </m:e>
          <m:sub>
            <m:r>
              <m:t>k</m:t>
            </m:r>
          </m:sub>
        </m:sSub>
      </m:oMath>
      <w:r>
        <w:t xml:space="preserve"> </w:t>
      </w:r>
      <w:r>
        <w:t xml:space="preserve">are then sampled separately for each of the</w:t>
      </w:r>
      <w:r>
        <w:t xml:space="preserve"> </w:t>
      </w:r>
      <m:oMath>
        <m:r>
          <m:t>L</m:t>
        </m:r>
      </m:oMath>
      <w:r>
        <w:t xml:space="preserve"> </w:t>
      </w:r>
      <w:r>
        <w:t xml:space="preserve">groups using their own hyper-parameters</w:t>
      </w:r>
      <w:r>
        <w:t xml:space="preserve"> </w:t>
      </w:r>
      <m:oMath>
        <m:r>
          <m:t>μ</m:t>
        </m:r>
      </m:oMath>
      <w:r>
        <w:t xml:space="preserve"> </w:t>
      </w:r>
      <w:r>
        <w:t xml:space="preserve">and</w:t>
      </w:r>
      <w:r>
        <w:t xml:space="preserve"> </w:t>
      </w:r>
      <m:oMath>
        <m:sSup>
          <m:e>
            <m:r>
              <m:t>σ</m:t>
            </m:r>
          </m:e>
          <m:sup>
            <m:r>
              <m:t>2</m:t>
            </m:r>
          </m:sup>
        </m:sSup>
      </m:oMath>
      <w:r>
        <w:t xml:space="preserve">. The structure of the model can be represented as follows:</w:t>
      </w:r>
    </w:p>
    <w:p>
      <w:pPr>
        <w:pStyle w:val="BodyText"/>
      </w:pPr>
      <w:r>
        <w:t xml:space="preserve">With each of the</w:t>
      </w:r>
      <w:r>
        <w:t xml:space="preserve"> </w:t>
      </w:r>
      <m:oMath>
        <m:r>
          <m:t>L</m:t>
        </m:r>
      </m:oMath>
      <w:r>
        <w:t xml:space="preserve"> </w:t>
      </w:r>
      <w:r>
        <w:t xml:space="preserve">groups having their own sampled coefficients</w:t>
      </w:r>
      <w:r>
        <w:t xml:space="preserve"> </w:t>
      </w:r>
      <m:oMath>
        <m:sSub>
          <m:e>
            <m:r>
              <m:t>β</m:t>
            </m:r>
          </m:e>
          <m:sub>
            <m:r>
              <m:t>0</m:t>
            </m:r>
          </m:sub>
        </m:sSub>
        <m:r>
          <m:rPr>
            <m:sty m:val="p"/>
          </m:rPr>
          <m:t>,</m:t>
        </m:r>
        <m:sSub>
          <m:e>
            <m:r>
              <m:t>β</m:t>
            </m:r>
          </m:e>
          <m:sub>
            <m:r>
              <m:t>1</m:t>
            </m:r>
          </m:sub>
        </m:sSub>
        <m:r>
          <m:rPr>
            <m:sty m:val="p"/>
          </m:rPr>
          <m:t>,</m:t>
        </m:r>
        <m:r>
          <m:rPr>
            <m:sty m:val="p"/>
          </m:rPr>
          <m:t>…</m:t>
        </m:r>
        <m:r>
          <m:rPr>
            <m:sty m:val="p"/>
          </m:rPr>
          <m:t>,</m:t>
        </m:r>
        <m:sSub>
          <m:e>
            <m:r>
              <m:t>β</m:t>
            </m:r>
          </m:e>
          <m:sub>
            <m:r>
              <m:t>k</m:t>
            </m:r>
          </m:sub>
        </m:sSub>
      </m:oMath>
      <w:r>
        <w:t xml:space="preserve">, we can specify the Logistic Regression model for the target variable:</w:t>
      </w:r>
    </w:p>
    <w:p>
      <w:pPr>
        <w:pStyle w:val="BodyText"/>
      </w:pPr>
      <m:oMathPara>
        <m:oMathParaPr>
          <m:jc m:val="center"/>
        </m:oMathParaPr>
        <m:oMath>
          <m:sSub>
            <m:e>
              <m:r>
                <m:t>y</m:t>
              </m:r>
            </m:e>
            <m:sub>
              <m:r>
                <m:t>n</m:t>
              </m:r>
            </m:sub>
          </m:sSub>
          <m:r>
            <m:rPr>
              <m:sty m:val="p"/>
            </m:rPr>
            <m:t>∼</m:t>
          </m:r>
          <m:r>
            <m:rPr>
              <m:nor/>
              <m:sty m:val="p"/>
            </m:rPr>
            <m:t>Bernoulli</m:t>
          </m:r>
          <m:d>
            <m:dPr>
              <m:begChr m:val="("/>
              <m:sepChr m:val=""/>
              <m:endChr m:val=")"/>
              <m:grow/>
            </m:dPr>
            <m:e>
              <m:sSup>
                <m:e>
                  <m:r>
                    <m:rPr>
                      <m:nor/>
                      <m:sty m:val="p"/>
                    </m:rPr>
                    <m:t>logit</m:t>
                  </m:r>
                </m:e>
                <m:sup>
                  <m:r>
                    <m:rPr>
                      <m:sty m:val="p"/>
                    </m:rPr>
                    <m:t>−</m:t>
                  </m:r>
                  <m:r>
                    <m:t>1</m:t>
                  </m:r>
                </m:sup>
              </m:sSup>
              <m:d>
                <m:dPr>
                  <m:begChr m:val="("/>
                  <m:sepChr m:val=""/>
                  <m:endChr m:val=")"/>
                  <m:grow/>
                </m:dPr>
                <m:e>
                  <m:sSub>
                    <m:e>
                      <m:r>
                        <m:t>β</m:t>
                      </m:r>
                    </m:e>
                    <m:sub>
                      <m:r>
                        <m:t>0</m:t>
                      </m:r>
                      <m:r>
                        <m:rPr>
                          <m:sty m:val="p"/>
                        </m:rPr>
                        <m:t>,</m:t>
                      </m:r>
                      <m:r>
                        <m:t>L</m:t>
                      </m:r>
                      <m:d>
                        <m:dPr>
                          <m:begChr m:val="("/>
                          <m:sepChr m:val=""/>
                          <m:endChr m:val=")"/>
                          <m:grow/>
                        </m:dPr>
                        <m:e>
                          <m:r>
                            <m:t>n</m:t>
                          </m:r>
                        </m:e>
                      </m:d>
                    </m:sub>
                  </m:sSub>
                  <m:r>
                    <m:rPr>
                      <m:sty m:val="p"/>
                    </m:rPr>
                    <m:t>+</m:t>
                  </m:r>
                  <m:sSub>
                    <m:e>
                      <m:r>
                        <m:t>β</m:t>
                      </m:r>
                    </m:e>
                    <m:sub>
                      <m:r>
                        <m:t>1</m:t>
                      </m:r>
                      <m:r>
                        <m:rPr>
                          <m:sty m:val="p"/>
                        </m:rPr>
                        <m:t>,</m:t>
                      </m:r>
                      <m:r>
                        <m:t>L</m:t>
                      </m:r>
                      <m:d>
                        <m:dPr>
                          <m:begChr m:val="("/>
                          <m:sepChr m:val=""/>
                          <m:endChr m:val=")"/>
                          <m:grow/>
                        </m:dPr>
                        <m:e>
                          <m:r>
                            <m:t>n</m:t>
                          </m:r>
                        </m:e>
                      </m:d>
                    </m:sub>
                  </m:sSub>
                  <m:sSub>
                    <m:e>
                      <m:r>
                        <m:t>x</m:t>
                      </m:r>
                    </m:e>
                    <m:sub>
                      <m:r>
                        <m:t>n</m:t>
                      </m:r>
                      <m:r>
                        <m:rPr>
                          <m:sty m:val="p"/>
                        </m:rPr>
                        <m:t>,</m:t>
                      </m:r>
                      <m:r>
                        <m:t>1</m:t>
                      </m:r>
                    </m:sub>
                  </m:sSub>
                  <m:r>
                    <m:rPr>
                      <m:sty m:val="p"/>
                    </m:rPr>
                    <m:t>+</m:t>
                  </m:r>
                  <m:r>
                    <m:rPr>
                      <m:sty m:val="p"/>
                    </m:rPr>
                    <m:t>⋯</m:t>
                  </m:r>
                  <m:r>
                    <m:rPr>
                      <m:sty m:val="p"/>
                    </m:rPr>
                    <m:t>+</m:t>
                  </m:r>
                  <m:sSub>
                    <m:e>
                      <m:r>
                        <m:t>β</m:t>
                      </m:r>
                    </m:e>
                    <m:sub>
                      <m:r>
                        <m:t>k</m:t>
                      </m:r>
                      <m:r>
                        <m:rPr>
                          <m:sty m:val="p"/>
                        </m:rPr>
                        <m:t>,</m:t>
                      </m:r>
                      <m:r>
                        <m:t>L</m:t>
                      </m:r>
                      <m:d>
                        <m:dPr>
                          <m:begChr m:val="("/>
                          <m:sepChr m:val=""/>
                          <m:endChr m:val=")"/>
                          <m:grow/>
                        </m:dPr>
                        <m:e>
                          <m:r>
                            <m:t>n</m:t>
                          </m:r>
                        </m:e>
                      </m:d>
                    </m:sub>
                  </m:sSub>
                  <m:sSub>
                    <m:e>
                      <m:r>
                        <m:t>x</m:t>
                      </m:r>
                    </m:e>
                    <m:sub>
                      <m:r>
                        <m:t>n</m:t>
                      </m:r>
                      <m:r>
                        <m:rPr>
                          <m:sty m:val="p"/>
                        </m:rPr>
                        <m:t>,</m:t>
                      </m:r>
                      <m:r>
                        <m:t>k</m:t>
                      </m:r>
                    </m:sub>
                  </m:sSub>
                </m:e>
              </m:d>
            </m:e>
          </m:d>
          <m:r>
            <m:rPr>
              <m:sty m:val="p"/>
            </m:rPr>
            <m:t>,</m:t>
          </m:r>
        </m:oMath>
      </m:oMathPara>
    </w:p>
    <w:p>
      <w:pPr>
        <w:pStyle w:val="FirstParagraph"/>
      </w:pPr>
      <w:r>
        <w:t xml:space="preserve">where</w:t>
      </w:r>
      <w:r>
        <w:t xml:space="preserve"> </w:t>
      </w:r>
      <m:oMath>
        <m:r>
          <m:t>L</m:t>
        </m:r>
        <m:d>
          <m:dPr>
            <m:begChr m:val="("/>
            <m:sepChr m:val=""/>
            <m:endChr m:val=")"/>
            <m:grow/>
          </m:dPr>
          <m:e>
            <m:r>
              <m:t>n</m:t>
            </m:r>
          </m:e>
        </m:d>
      </m:oMath>
      <w:r>
        <w:t xml:space="preserve"> </w:t>
      </w:r>
      <w:r>
        <w:t xml:space="preserve">denotes the group membership of the</w:t>
      </w:r>
      <w:r>
        <w:t xml:space="preserve"> </w:t>
      </w:r>
      <m:oMath>
        <m:sSup>
          <m:e>
            <m:r>
              <m:t>n</m:t>
            </m:r>
          </m:e>
          <m:sup>
            <m:r>
              <m:rPr>
                <m:nor/>
                <m:sty m:val="p"/>
              </m:rPr>
              <m:t>th</m:t>
            </m:r>
          </m:sup>
        </m:sSup>
      </m:oMath>
      <w:r>
        <w:t xml:space="preserve"> </w:t>
      </w:r>
      <w:r>
        <w:t xml:space="preserve">observation.</w:t>
      </w:r>
    </w:p>
    <w:bookmarkEnd w:id="60"/>
    <w:bookmarkStart w:id="61" w:name="priors-justification-1"/>
    <w:p>
      <w:pPr>
        <w:pStyle w:val="Heading3"/>
      </w:pPr>
      <w:r>
        <w:t xml:space="preserve">Priors justification</w:t>
      </w:r>
    </w:p>
    <w:p>
      <w:pPr>
        <w:pStyle w:val="FirstParagraph"/>
      </w:pPr>
      <w:r>
        <w:t xml:space="preserve">We can estimate the coefficients</w:t>
      </w:r>
      <w:r>
        <w:t xml:space="preserve"> </w:t>
      </w:r>
      <m:oMath>
        <m:sSub>
          <m:e>
            <m:r>
              <m:t>β</m:t>
            </m:r>
          </m:e>
          <m:sub>
            <m:r>
              <m:t>0</m:t>
            </m:r>
            <m:r>
              <m:rPr>
                <m:sty m:val="p"/>
              </m:rPr>
              <m:t>,</m:t>
            </m:r>
            <m:r>
              <m:t>L</m:t>
            </m:r>
            <m:d>
              <m:dPr>
                <m:begChr m:val="("/>
                <m:sepChr m:val=""/>
                <m:endChr m:val=")"/>
                <m:grow/>
              </m:dPr>
              <m:e>
                <m:r>
                  <m:t>n</m:t>
                </m:r>
              </m:e>
            </m:d>
          </m:sub>
        </m:sSub>
        <m:r>
          <m:rPr>
            <m:sty m:val="p"/>
          </m:rPr>
          <m:t>,</m:t>
        </m:r>
        <m:sSub>
          <m:e>
            <m:r>
              <m:t>β</m:t>
            </m:r>
          </m:e>
          <m:sub>
            <m:r>
              <m:t>1</m:t>
            </m:r>
            <m:r>
              <m:rPr>
                <m:sty m:val="p"/>
              </m:rPr>
              <m:t>,</m:t>
            </m:r>
            <m:r>
              <m:t>L</m:t>
            </m:r>
            <m:d>
              <m:dPr>
                <m:begChr m:val="("/>
                <m:sepChr m:val=""/>
                <m:endChr m:val=")"/>
                <m:grow/>
              </m:dPr>
              <m:e>
                <m:r>
                  <m:t>n</m:t>
                </m:r>
              </m:e>
            </m:d>
          </m:sub>
        </m:sSub>
        <m:r>
          <m:rPr>
            <m:sty m:val="p"/>
          </m:rPr>
          <m:t>,</m:t>
        </m:r>
        <m:r>
          <m:rPr>
            <m:sty m:val="p"/>
          </m:rPr>
          <m:t>…</m:t>
        </m:r>
        <m:r>
          <m:rPr>
            <m:sty m:val="p"/>
          </m:rPr>
          <m:t>,</m:t>
        </m:r>
        <m:sSub>
          <m:e>
            <m:r>
              <m:t>β</m:t>
            </m:r>
          </m:e>
          <m:sub>
            <m:r>
              <m:t>k</m:t>
            </m:r>
            <m:r>
              <m:rPr>
                <m:sty m:val="p"/>
              </m:rPr>
              <m:t>,</m:t>
            </m:r>
            <m:r>
              <m:t>L</m:t>
            </m:r>
            <m:d>
              <m:dPr>
                <m:begChr m:val="("/>
                <m:sepChr m:val=""/>
                <m:endChr m:val=")"/>
                <m:grow/>
              </m:dPr>
              <m:e>
                <m:r>
                  <m:t>n</m:t>
                </m:r>
              </m:e>
            </m:d>
          </m:sub>
        </m:sSub>
      </m:oMath>
      <w:r>
        <w:t xml:space="preserve"> </w:t>
      </w:r>
      <w:r>
        <w:t xml:space="preserve">using a Normal prior with hyper-parameters</w:t>
      </w:r>
      <w:r>
        <w:t xml:space="preserve"> </w:t>
      </w:r>
      <m:oMath>
        <m:r>
          <m:t>μ</m:t>
        </m:r>
      </m:oMath>
      <w:r>
        <w:t xml:space="preserve"> </w:t>
      </w:r>
      <w:r>
        <w:t xml:space="preserve">and</w:t>
      </w:r>
      <w:r>
        <w:t xml:space="preserve"> </w:t>
      </w:r>
      <m:oMath>
        <m:sSup>
          <m:e>
            <m:r>
              <m:t>σ</m:t>
            </m:r>
          </m:e>
          <m:sup>
            <m:r>
              <m:t>2</m:t>
            </m:r>
          </m:sup>
        </m:sSup>
      </m:oMath>
      <w:r>
        <w:t xml:space="preserve">:</w:t>
      </w:r>
    </w:p>
    <w:p>
      <w:pPr>
        <w:pStyle w:val="BodyText"/>
      </w:pPr>
      <m:oMathPara>
        <m:oMathParaPr>
          <m:jc m:val="center"/>
        </m:oMathParaPr>
        <m:oMath>
          <m:sSub>
            <m:e>
              <m:r>
                <m:t>β</m:t>
              </m:r>
            </m:e>
            <m:sub>
              <m:r>
                <m:t>i</m:t>
              </m:r>
              <m:r>
                <m:rPr>
                  <m:sty m:val="p"/>
                </m:rPr>
                <m:t>,</m:t>
              </m:r>
              <m:r>
                <m:t>L</m:t>
              </m:r>
              <m:d>
                <m:dPr>
                  <m:begChr m:val="("/>
                  <m:sepChr m:val=""/>
                  <m:endChr m:val=")"/>
                  <m:grow/>
                </m:dPr>
                <m:e>
                  <m:r>
                    <m:t>n</m:t>
                  </m:r>
                </m:e>
              </m:d>
            </m:sub>
          </m:sSub>
          <m:r>
            <m:rPr>
              <m:sty m:val="p"/>
            </m:rPr>
            <m:t>∼</m:t>
          </m:r>
          <m:r>
            <m:rPr>
              <m:sty m:val="p"/>
              <m:scr m:val="script"/>
            </m:rPr>
            <m:t>N</m:t>
          </m:r>
          <m:d>
            <m:dPr>
              <m:begChr m:val="("/>
              <m:sepChr m:val=""/>
              <m:endChr m:val=")"/>
              <m:grow/>
            </m:dPr>
            <m:e>
              <m:sSub>
                <m:e>
                  <m:r>
                    <m:t>μ</m:t>
                  </m:r>
                </m:e>
                <m:sub>
                  <m:r>
                    <m:t>i</m:t>
                  </m:r>
                </m:sub>
              </m:sSub>
              <m:r>
                <m:rPr>
                  <m:sty m:val="p"/>
                </m:rPr>
                <m:t>,</m:t>
              </m:r>
              <m:sSubSup>
                <m:e>
                  <m:r>
                    <m:t>σ</m:t>
                  </m:r>
                </m:e>
                <m:sub>
                  <m:r>
                    <m:t>i</m:t>
                  </m:r>
                </m:sub>
                <m:sup>
                  <m:r>
                    <m:t>2</m:t>
                  </m:r>
                </m:sup>
              </m:sSubSup>
            </m:e>
          </m:d>
          <m:r>
            <m:rPr>
              <m:sty m:val="p"/>
            </m:rPr>
            <m:t>,</m:t>
          </m:r>
          <m:r>
            <m:t> </m:t>
          </m:r>
          <m:r>
            <m:t>i</m:t>
          </m:r>
          <m:r>
            <m:rPr>
              <m:sty m:val="p"/>
            </m:rPr>
            <m:t>=</m:t>
          </m:r>
          <m:r>
            <m:t>1</m:t>
          </m:r>
          <m:r>
            <m:rPr>
              <m:sty m:val="p"/>
            </m:rPr>
            <m:t>:</m:t>
          </m:r>
          <m:r>
            <m:t>k</m:t>
          </m:r>
          <m:r>
            <m:rPr>
              <m:sty m:val="p"/>
            </m:rPr>
            <m:t>.</m:t>
          </m:r>
        </m:oMath>
      </m:oMathPara>
    </w:p>
    <w:p>
      <w:pPr>
        <w:pStyle w:val="FirstParagraph"/>
      </w:pPr>
      <w:r>
        <w:t xml:space="preserve">For the hyper-parameter</w:t>
      </w:r>
      <w:r>
        <w:t xml:space="preserve"> </w:t>
      </w:r>
      <m:oMath>
        <m:sSub>
          <m:e>
            <m:r>
              <m:t>μ</m:t>
            </m:r>
          </m:e>
          <m:sub>
            <m:r>
              <m:t>i</m:t>
            </m:r>
          </m:sub>
        </m:sSub>
      </m:oMath>
      <w:r>
        <w:t xml:space="preserve">, we assume the same generic weakly informative prior:</w:t>
      </w:r>
    </w:p>
    <w:p>
      <w:pPr>
        <w:pStyle w:val="BodyText"/>
      </w:pPr>
      <m:oMathPara>
        <m:oMathParaPr>
          <m:jc m:val="center"/>
        </m:oMathParaPr>
        <m:oMath>
          <m:sSub>
            <m:e>
              <m:r>
                <m:t>μ</m:t>
              </m:r>
            </m:e>
            <m:sub>
              <m:r>
                <m:t>i</m:t>
              </m:r>
            </m:sub>
          </m:sSub>
          <m:r>
            <m:rPr>
              <m:sty m:val="p"/>
            </m:rPr>
            <m:t>∼</m:t>
          </m:r>
          <m:r>
            <m:rPr>
              <m:sty m:val="p"/>
              <m:scr m:val="script"/>
            </m:rPr>
            <m:t>N</m:t>
          </m:r>
          <m:d>
            <m:dPr>
              <m:begChr m:val="("/>
              <m:sepChr m:val=""/>
              <m:endChr m:val=")"/>
              <m:grow/>
            </m:dPr>
            <m:e>
              <m:r>
                <m:t>0</m:t>
              </m:r>
              <m:r>
                <m:rPr>
                  <m:sty m:val="p"/>
                </m:rPr>
                <m:t>,</m:t>
              </m:r>
              <m:r>
                <m:t>1</m:t>
              </m:r>
            </m:e>
          </m:d>
          <m:r>
            <m:rPr>
              <m:sty m:val="p"/>
            </m:rPr>
            <m:t>.</m:t>
          </m:r>
        </m:oMath>
      </m:oMathPara>
    </w:p>
    <w:p>
      <w:pPr>
        <w:pStyle w:val="FirstParagraph"/>
      </w:pPr>
      <w:r>
        <w:t xml:space="preserve">Because all predictors were standardized, this prior is considered weakly informative enough to avoid introducing bias. The justification for this choice has already been provided in the pooled model section.</w:t>
      </w:r>
    </w:p>
    <w:p>
      <w:pPr>
        <w:pStyle w:val="BodyText"/>
      </w:pPr>
      <w:r>
        <w:t xml:space="preserve">For the hyper-parameter</w:t>
      </w:r>
      <w:r>
        <w:t xml:space="preserve"> </w:t>
      </w:r>
      <m:oMath>
        <m:sSubSup>
          <m:e>
            <m:r>
              <m:t>σ</m:t>
            </m:r>
          </m:e>
          <m:sub>
            <m:r>
              <m:t>i</m:t>
            </m:r>
          </m:sub>
          <m:sup>
            <m:r>
              <m:t>2</m:t>
            </m:r>
          </m:sup>
        </m:sSubSup>
      </m:oMath>
      <w:r>
        <w:t xml:space="preserve">, we assume a weakly informative inverse-gamma prior:</w:t>
      </w:r>
    </w:p>
    <w:p>
      <w:pPr>
        <w:pStyle w:val="BodyText"/>
      </w:pPr>
      <m:oMathPara>
        <m:oMathParaPr>
          <m:jc m:val="center"/>
        </m:oMathParaPr>
        <m:oMath>
          <m:sSubSup>
            <m:e>
              <m:r>
                <m:t>σ</m:t>
              </m:r>
            </m:e>
            <m:sub>
              <m:r>
                <m:t>i</m:t>
              </m:r>
            </m:sub>
            <m:sup>
              <m:r>
                <m:t>2</m:t>
              </m:r>
            </m:sup>
          </m:sSubSup>
          <m:r>
            <m:rPr>
              <m:sty m:val="p"/>
            </m:rPr>
            <m:t>∼</m:t>
          </m:r>
          <m:r>
            <m:rPr>
              <m:nor/>
              <m:sty m:val="p"/>
            </m:rPr>
            <m:t>InvGamma</m:t>
          </m:r>
          <m:d>
            <m:dPr>
              <m:begChr m:val="("/>
              <m:sepChr m:val=""/>
              <m:endChr m:val=")"/>
              <m:grow/>
            </m:dPr>
            <m:e>
              <m:r>
                <m:t>0.5</m:t>
              </m:r>
              <m:r>
                <m:rPr>
                  <m:sty m:val="p"/>
                </m:rPr>
                <m:t>,</m:t>
              </m:r>
              <m:r>
                <m:t> </m:t>
              </m:r>
              <m:r>
                <m:t>1</m:t>
              </m:r>
            </m:e>
          </m:d>
          <m:r>
            <m:rPr>
              <m:sty m:val="p"/>
            </m:rPr>
            <m:t>.</m:t>
          </m:r>
        </m:oMath>
      </m:oMathPara>
    </w:p>
    <w:p>
      <w:pPr>
        <w:pStyle w:val="FirstParagraph"/>
      </w:pPr>
      <w:r>
        <w:t xml:space="preserve">In hierarchical modeling, the inverse-gamma distribution is a common prior for hyper-variance estimation. The shape of the distribution</w:t>
      </w:r>
      <w:r>
        <w:t xml:space="preserve"> </w:t>
      </w:r>
      <m:oMath>
        <m:r>
          <m:rPr>
            <m:nor/>
            <m:sty m:val="p"/>
          </m:rPr>
          <m:t>InvGamma</m:t>
        </m:r>
        <m:d>
          <m:dPr>
            <m:begChr m:val="("/>
            <m:sepChr m:val=""/>
            <m:endChr m:val=")"/>
            <m:grow/>
          </m:dPr>
          <m:e>
            <m:r>
              <m:t>0.5</m:t>
            </m:r>
            <m:r>
              <m:rPr>
                <m:sty m:val="p"/>
              </m:rPr>
              <m:t>,</m:t>
            </m:r>
            <m:r>
              <m:t>1</m:t>
            </m:r>
          </m:e>
        </m:d>
      </m:oMath>
      <w:r>
        <w:t xml:space="preserve"> </w:t>
      </w:r>
      <w:r>
        <w:t xml:space="preserve">has a wide and heavy right tail, ensuring positivity and weak informativeness, which makes it suitable for estimating</w:t>
      </w:r>
      <w:r>
        <w:t xml:space="preserve"> </w:t>
      </w:r>
      <m:oMath>
        <m:sSubSup>
          <m:e>
            <m:r>
              <m:t>σ</m:t>
            </m:r>
          </m:e>
          <m:sub>
            <m:r>
              <m:t>i</m:t>
            </m:r>
          </m:sub>
          <m:sup>
            <m:r>
              <m:t>2</m:t>
            </m:r>
          </m:sup>
        </m:sSubSup>
      </m:oMath>
      <w:r>
        <w:t xml:space="preserve">.</w:t>
      </w:r>
    </w:p>
    <w:bookmarkEnd w:id="61"/>
    <w:bookmarkEnd w:id="62"/>
    <w:bookmarkEnd w:id="63"/>
    <w:bookmarkStart w:id="87" w:name="result-analysis"/>
    <w:p>
      <w:pPr>
        <w:pStyle w:val="Heading1"/>
      </w:pPr>
      <w:r>
        <w:t xml:space="preserve">Result Analysis</w:t>
      </w:r>
    </w:p>
    <w:bookmarkStart w:id="73" w:name="convergence-diagnostics"/>
    <w:p>
      <w:pPr>
        <w:pStyle w:val="Heading2"/>
      </w:pPr>
      <w:r>
        <w:t xml:space="preserve">Convergence Diagnostics</w:t>
      </w:r>
    </w:p>
    <w:bookmarkStart w:id="67" w:name="hatr-diagnostics"/>
    <w:p>
      <w:pPr>
        <w:pStyle w:val="Heading3"/>
      </w:pPr>
      <m:oMath>
        <m:acc>
          <m:accPr>
            <m:chr m:val="̂"/>
          </m:accPr>
          <m:e>
            <m:r>
              <m:t>R</m:t>
            </m:r>
          </m:e>
        </m:acc>
      </m:oMath>
      <w:r>
        <w:t xml:space="preserve"> </w:t>
      </w:r>
      <w:r>
        <w:t xml:space="preserve">Diagnostics</w:t>
      </w:r>
    </w:p>
    <w:p>
      <w:pPr>
        <w:pStyle w:val="FirstParagraph"/>
      </w:pPr>
      <w:r>
        <w:t xml:space="preserve">The</w:t>
      </w:r>
      <w:r>
        <w:t xml:space="preserve"> </w:t>
      </w:r>
      <m:oMath>
        <m:acc>
          <m:accPr>
            <m:chr m:val="̂"/>
          </m:accPr>
          <m:e>
            <m:r>
              <m:t>R</m:t>
            </m:r>
          </m:e>
        </m:acc>
      </m:oMath>
      <w:r>
        <w:t xml:space="preserve"> </w:t>
      </w:r>
      <w:r>
        <w:t xml:space="preserve">values for the models are plotted as histograms.</w:t>
      </w:r>
    </w:p>
    <w:p>
      <w:pPr>
        <w:pStyle w:val="BodyText"/>
      </w:pPr>
      <w:r>
        <w:drawing>
          <wp:inline>
            <wp:extent cx="4620126" cy="3696101"/>
            <wp:effectExtent b="0" l="0" r="0" t="0"/>
            <wp:docPr descr="" title="" id="65" name="Picture"/>
            <a:graphic>
              <a:graphicData uri="http://schemas.openxmlformats.org/drawingml/2006/picture">
                <pic:pic>
                  <pic:nvPicPr>
                    <pic:cNvPr descr="Report_files/figure-docx/rhat-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histograms clearly show that all</w:t>
      </w:r>
      <w:r>
        <w:t xml:space="preserve"> </w:t>
      </w:r>
      <m:oMath>
        <m:acc>
          <m:accPr>
            <m:chr m:val="̂"/>
          </m:accPr>
          <m:e>
            <m:r>
              <m:t>R</m:t>
            </m:r>
          </m:e>
        </m:acc>
      </m:oMath>
      <w:r>
        <w:t xml:space="preserve"> </w:t>
      </w:r>
      <w:r>
        <w:t xml:space="preserve">values are below 1.05, and their distributions are tightly concentrated around 1.00. This indicates that the MCMC chains for both models have converged well.</w:t>
      </w:r>
    </w:p>
    <w:bookmarkEnd w:id="67"/>
    <w:bookmarkStart w:id="71" w:name="ess-diagnostics"/>
    <w:p>
      <w:pPr>
        <w:pStyle w:val="Heading3"/>
      </w:pPr>
      <w:r>
        <w:t xml:space="preserve">ESS diagnostics</w:t>
      </w:r>
    </w:p>
    <w:p>
      <w:pPr>
        <w:pStyle w:val="FirstParagraph"/>
      </w:pPr>
      <w:r>
        <w:t xml:space="preserve">The Effective Sample Size (ESS) values of the parameters for the two models are plotted in the histograms below.</w:t>
      </w:r>
    </w:p>
    <w:p>
      <w:pPr>
        <w:pStyle w:val="BodyText"/>
      </w:pPr>
      <w:r>
        <w:drawing>
          <wp:inline>
            <wp:extent cx="4620126" cy="3696101"/>
            <wp:effectExtent b="0" l="0" r="0" t="0"/>
            <wp:docPr descr="" title="" id="69" name="Picture"/>
            <a:graphic>
              <a:graphicData uri="http://schemas.openxmlformats.org/drawingml/2006/picture">
                <pic:pic>
                  <pic:nvPicPr>
                    <pic:cNvPr descr="Report_files/figure-docx/ess-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For both the pooled and hierarchical models, all ESS values exceed 100 times the number of chains. This indicates that the Markov chains mixed well, providing a sufficiently large number of effective posterior draws for reliable inference. Overall, the high ESS values across all parameters suggest strong precision in our posterior estimates.</w:t>
      </w:r>
    </w:p>
    <w:bookmarkEnd w:id="71"/>
    <w:bookmarkStart w:id="72" w:name="divergence"/>
    <w:p>
      <w:pPr>
        <w:pStyle w:val="Heading3"/>
      </w:pPr>
      <w:r>
        <w:t xml:space="preserve">Divergence</w:t>
      </w:r>
    </w:p>
    <w:p>
      <w:pPr>
        <w:pStyle w:val="FirstParagraph"/>
      </w:pPr>
      <w:r>
        <w:t xml:space="preserve">We find no evidence of divergence; the ESS values are sufficiently large and stable across all chains which is a sign of good mixing and reliable posterior estimates.</w:t>
      </w:r>
    </w:p>
    <w:p>
      <w:pPr>
        <w:pStyle w:val="SourceCode"/>
      </w:pPr>
      <w:r>
        <w:rPr>
          <w:rStyle w:val="VerbatimChar"/>
        </w:rPr>
        <w:t xml:space="preserve">## Pooled model</w:t>
      </w:r>
    </w:p>
    <w:p>
      <w:pPr>
        <w:pStyle w:val="SourceCode"/>
      </w:pPr>
      <w:r>
        <w:rPr>
          <w:rStyle w:val="VerbatimChar"/>
        </w:rPr>
        <w:t xml:space="preserve">##  accept_stat__      stepsize__      treedepth__     n_leapfrog__    divergent__</w:t>
      </w:r>
      <w:r>
        <w:br/>
      </w:r>
      <w:r>
        <w:rPr>
          <w:rStyle w:val="VerbatimChar"/>
        </w:rPr>
        <w:t xml:space="preserve">##  Min.   :0.3526   Min.   :0.5188   Min.   :2.000   Min.   : 3.00   Min.   :0   </w:t>
      </w:r>
      <w:r>
        <w:br/>
      </w:r>
      <w:r>
        <w:rPr>
          <w:rStyle w:val="VerbatimChar"/>
        </w:rPr>
        <w:t xml:space="preserve">##  1st Qu.:0.8572   1st Qu.:0.5317   1st Qu.:3.000   1st Qu.: 7.00   1st Qu.:0   </w:t>
      </w:r>
      <w:r>
        <w:br/>
      </w:r>
      <w:r>
        <w:rPr>
          <w:rStyle w:val="VerbatimChar"/>
        </w:rPr>
        <w:t xml:space="preserve">##  Median :0.9387   Median :0.5535   Median :3.000   Median : 7.00   Median :0   </w:t>
      </w:r>
      <w:r>
        <w:br/>
      </w:r>
      <w:r>
        <w:rPr>
          <w:rStyle w:val="VerbatimChar"/>
        </w:rPr>
        <w:t xml:space="preserve">##  Mean   :0.9050   Mean   :0.5506   Mean   :2.943   Mean   : 6.94   Mean   :0   </w:t>
      </w:r>
      <w:r>
        <w:br/>
      </w:r>
      <w:r>
        <w:rPr>
          <w:rStyle w:val="VerbatimChar"/>
        </w:rPr>
        <w:t xml:space="preserve">##  3rd Qu.:0.9827   3rd Qu.:0.5724   3rd Qu.:3.000   3rd Qu.: 7.00   3rd Qu.:0   </w:t>
      </w:r>
      <w:r>
        <w:br/>
      </w:r>
      <w:r>
        <w:rPr>
          <w:rStyle w:val="VerbatimChar"/>
        </w:rPr>
        <w:t xml:space="preserve">##  Max.   :1.0000   Max.   :0.5764   Max.   :4.000   Max.   :15.00   Max.   :0   </w:t>
      </w:r>
      <w:r>
        <w:br/>
      </w:r>
      <w:r>
        <w:rPr>
          <w:rStyle w:val="VerbatimChar"/>
        </w:rPr>
        <w:t xml:space="preserve">##     energy__    </w:t>
      </w:r>
      <w:r>
        <w:br/>
      </w:r>
      <w:r>
        <w:rPr>
          <w:rStyle w:val="VerbatimChar"/>
        </w:rPr>
        <w:t xml:space="preserve">##  Min.   :270.8  </w:t>
      </w:r>
      <w:r>
        <w:br/>
      </w:r>
      <w:r>
        <w:rPr>
          <w:rStyle w:val="VerbatimChar"/>
        </w:rPr>
        <w:t xml:space="preserve">##  1st Qu.:276.1  </w:t>
      </w:r>
      <w:r>
        <w:br/>
      </w:r>
      <w:r>
        <w:rPr>
          <w:rStyle w:val="VerbatimChar"/>
        </w:rPr>
        <w:t xml:space="preserve">##  Median :277.9  </w:t>
      </w:r>
      <w:r>
        <w:br/>
      </w:r>
      <w:r>
        <w:rPr>
          <w:rStyle w:val="VerbatimChar"/>
        </w:rPr>
        <w:t xml:space="preserve">##  Mean   :278.3  </w:t>
      </w:r>
      <w:r>
        <w:br/>
      </w:r>
      <w:r>
        <w:rPr>
          <w:rStyle w:val="VerbatimChar"/>
        </w:rPr>
        <w:t xml:space="preserve">##  3rd Qu.:280.3  </w:t>
      </w:r>
      <w:r>
        <w:br/>
      </w:r>
      <w:r>
        <w:rPr>
          <w:rStyle w:val="VerbatimChar"/>
        </w:rPr>
        <w:t xml:space="preserve">##  Max.   :290.8</w:t>
      </w:r>
    </w:p>
    <w:p>
      <w:pPr>
        <w:pStyle w:val="SourceCode"/>
      </w:pPr>
      <w:r>
        <w:rPr>
          <w:rStyle w:val="VerbatimChar"/>
        </w:rPr>
        <w:t xml:space="preserve">## Hierarchical model</w:t>
      </w:r>
    </w:p>
    <w:p>
      <w:pPr>
        <w:pStyle w:val="SourceCode"/>
      </w:pPr>
      <w:r>
        <w:rPr>
          <w:rStyle w:val="VerbatimChar"/>
        </w:rPr>
        <w:t xml:space="preserve">##  accept_stat__      stepsize__       treedepth__     n_leapfrog__   </w:t>
      </w:r>
      <w:r>
        <w:br/>
      </w:r>
      <w:r>
        <w:rPr>
          <w:rStyle w:val="VerbatimChar"/>
        </w:rPr>
        <w:t xml:space="preserve">##  Min.   :0.3685   Min.   :0.01003   Min.   :8.000   Min.   : 255.0  </w:t>
      </w:r>
      <w:r>
        <w:br/>
      </w:r>
      <w:r>
        <w:rPr>
          <w:rStyle w:val="VerbatimChar"/>
        </w:rPr>
        <w:t xml:space="preserve">##  1st Qu.:0.8945   1st Qu.:0.01032   1st Qu.:8.000   1st Qu.: 255.0  </w:t>
      </w:r>
      <w:r>
        <w:br/>
      </w:r>
      <w:r>
        <w:rPr>
          <w:rStyle w:val="VerbatimChar"/>
        </w:rPr>
        <w:t xml:space="preserve">##  Median :0.9564   Median :0.01137   Median :8.000   Median : 511.0  </w:t>
      </w:r>
      <w:r>
        <w:br/>
      </w:r>
      <w:r>
        <w:rPr>
          <w:rStyle w:val="VerbatimChar"/>
        </w:rPr>
        <w:t xml:space="preserve">##  Mean   :0.9250   Mean   :0.01131   Mean   :8.431   Mean   : 408.5  </w:t>
      </w:r>
      <w:r>
        <w:br/>
      </w:r>
      <w:r>
        <w:rPr>
          <w:rStyle w:val="VerbatimChar"/>
        </w:rPr>
        <w:t xml:space="preserve">##  3rd Qu.:0.9871   3rd Qu.:0.01236   3rd Qu.:9.000   3rd Qu.: 511.0  </w:t>
      </w:r>
      <w:r>
        <w:br/>
      </w:r>
      <w:r>
        <w:rPr>
          <w:rStyle w:val="VerbatimChar"/>
        </w:rPr>
        <w:t xml:space="preserve">##  Max.   :1.0000   Max.   :0.01246   Max.   :9.000   Max.   :1023.0  </w:t>
      </w:r>
      <w:r>
        <w:br/>
      </w:r>
      <w:r>
        <w:rPr>
          <w:rStyle w:val="VerbatimChar"/>
        </w:rPr>
        <w:t xml:space="preserve">##   divergent__    energy__    </w:t>
      </w:r>
      <w:r>
        <w:br/>
      </w:r>
      <w:r>
        <w:rPr>
          <w:rStyle w:val="VerbatimChar"/>
        </w:rPr>
        <w:t xml:space="preserve">##  Min.   :0    Min.   :257.3  </w:t>
      </w:r>
      <w:r>
        <w:br/>
      </w:r>
      <w:r>
        <w:rPr>
          <w:rStyle w:val="VerbatimChar"/>
        </w:rPr>
        <w:t xml:space="preserve">##  1st Qu.:0    1st Qu.:284.4  </w:t>
      </w:r>
      <w:r>
        <w:br/>
      </w:r>
      <w:r>
        <w:rPr>
          <w:rStyle w:val="VerbatimChar"/>
        </w:rPr>
        <w:t xml:space="preserve">##  Median :0    Median :291.0  </w:t>
      </w:r>
      <w:r>
        <w:br/>
      </w:r>
      <w:r>
        <w:rPr>
          <w:rStyle w:val="VerbatimChar"/>
        </w:rPr>
        <w:t xml:space="preserve">##  Mean   :0    Mean   :291.4  </w:t>
      </w:r>
      <w:r>
        <w:br/>
      </w:r>
      <w:r>
        <w:rPr>
          <w:rStyle w:val="VerbatimChar"/>
        </w:rPr>
        <w:t xml:space="preserve">##  3rd Qu.:0    3rd Qu.:298.1  </w:t>
      </w:r>
      <w:r>
        <w:br/>
      </w:r>
      <w:r>
        <w:rPr>
          <w:rStyle w:val="VerbatimChar"/>
        </w:rPr>
        <w:t xml:space="preserve">##  Max.   :0    Max.   :338.6</w:t>
      </w:r>
    </w:p>
    <w:bookmarkEnd w:id="72"/>
    <w:bookmarkEnd w:id="73"/>
    <w:bookmarkStart w:id="85" w:name="posterior-predictive-check"/>
    <w:p>
      <w:pPr>
        <w:pStyle w:val="Heading2"/>
      </w:pPr>
      <w:r>
        <w:t xml:space="preserve">Posterior predictive check</w:t>
      </w:r>
    </w:p>
    <w:bookmarkStart w:id="80" w:name="section-3"/>
    <w:p>
      <w:pPr>
        <w:pStyle w:val="Heading3"/>
      </w:pPr>
      <w:r>
        <w:drawing>
          <wp:inline>
            <wp:extent cx="2857500" cy="2235819"/>
            <wp:effectExtent b="0" l="0" r="0" t="0"/>
            <wp:docPr descr="" title="" id="75" name="Picture"/>
            <a:graphic>
              <a:graphicData uri="http://schemas.openxmlformats.org/drawingml/2006/picture">
                <pic:pic>
                  <pic:nvPicPr>
                    <pic:cNvPr descr="images/clipboard-3766702300.png" id="76" name="Picture"/>
                    <pic:cNvPicPr>
                      <a:picLocks noChangeArrowheads="1" noChangeAspect="1"/>
                    </pic:cNvPicPr>
                  </pic:nvPicPr>
                  <pic:blipFill>
                    <a:blip r:embed="rId74"/>
                    <a:stretch>
                      <a:fillRect/>
                    </a:stretch>
                  </pic:blipFill>
                  <pic:spPr bwMode="auto">
                    <a:xfrm>
                      <a:off x="0" y="0"/>
                      <a:ext cx="2857500" cy="2235819"/>
                    </a:xfrm>
                    <a:prstGeom prst="rect">
                      <a:avLst/>
                    </a:prstGeom>
                    <a:noFill/>
                    <a:ln w="9525">
                      <a:noFill/>
                      <a:headEnd/>
                      <a:tailEnd/>
                    </a:ln>
                  </pic:spPr>
                </pic:pic>
              </a:graphicData>
            </a:graphic>
          </wp:inline>
        </w:drawing>
      </w:r>
      <w:r>
        <w:drawing>
          <wp:inline>
            <wp:extent cx="2857500" cy="2235819"/>
            <wp:effectExtent b="0" l="0" r="0" t="0"/>
            <wp:docPr descr="" title="" id="78" name="Picture"/>
            <a:graphic>
              <a:graphicData uri="http://schemas.openxmlformats.org/drawingml/2006/picture">
                <pic:pic>
                  <pic:nvPicPr>
                    <pic:cNvPr descr="images/clipboard-245020961.png" id="79" name="Picture"/>
                    <pic:cNvPicPr>
                      <a:picLocks noChangeArrowheads="1" noChangeAspect="1"/>
                    </pic:cNvPicPr>
                  </pic:nvPicPr>
                  <pic:blipFill>
                    <a:blip r:embed="rId77"/>
                    <a:stretch>
                      <a:fillRect/>
                    </a:stretch>
                  </pic:blipFill>
                  <pic:spPr bwMode="auto">
                    <a:xfrm>
                      <a:off x="0" y="0"/>
                      <a:ext cx="2857500" cy="2235819"/>
                    </a:xfrm>
                    <a:prstGeom prst="rect">
                      <a:avLst/>
                    </a:prstGeom>
                    <a:noFill/>
                    <a:ln w="9525">
                      <a:noFill/>
                      <a:headEnd/>
                      <a:tailEnd/>
                    </a:ln>
                  </pic:spPr>
                </pic:pic>
              </a:graphicData>
            </a:graphic>
          </wp:inline>
        </w:drawing>
      </w:r>
    </w:p>
    <w:bookmarkEnd w:id="80"/>
    <w:bookmarkStart w:id="84" w:name="section-4"/>
    <w:p>
      <w:pPr>
        <w:pStyle w:val="Heading3"/>
      </w:pPr>
      <w:r>
        <w:drawing>
          <wp:inline>
            <wp:extent cx="5334000" cy="4173529"/>
            <wp:effectExtent b="0" l="0" r="0" t="0"/>
            <wp:docPr descr="" title="" id="82" name="Picture"/>
            <a:graphic>
              <a:graphicData uri="http://schemas.openxmlformats.org/drawingml/2006/picture">
                <pic:pic>
                  <pic:nvPicPr>
                    <pic:cNvPr descr="images/clipboard-4105572697.png" id="83" name="Picture"/>
                    <pic:cNvPicPr>
                      <a:picLocks noChangeArrowheads="1" noChangeAspect="1"/>
                    </pic:cNvPicPr>
                  </pic:nvPicPr>
                  <pic:blipFill>
                    <a:blip r:embed="rId81"/>
                    <a:stretch>
                      <a:fillRect/>
                    </a:stretch>
                  </pic:blipFill>
                  <pic:spPr bwMode="auto">
                    <a:xfrm>
                      <a:off x="0" y="0"/>
                      <a:ext cx="5334000" cy="4173529"/>
                    </a:xfrm>
                    <a:prstGeom prst="rect">
                      <a:avLst/>
                    </a:prstGeom>
                    <a:noFill/>
                    <a:ln w="9525">
                      <a:noFill/>
                      <a:headEnd/>
                      <a:tailEnd/>
                    </a:ln>
                  </pic:spPr>
                </pic:pic>
              </a:graphicData>
            </a:graphic>
          </wp:inline>
        </w:drawing>
      </w:r>
    </w:p>
    <w:p>
      <w:pPr>
        <w:pStyle w:val="FirstParagraph"/>
      </w:pPr>
      <w:r>
        <w:t xml:space="preserve">The posterior predictive check (PPC) plots show a strong alignment between the observed data and the simulated predictions in terms of central tendency. The posterior predictive means closely match the true mean which indicates that the model captures the main patterns in the risk defaulting data.</w:t>
      </w:r>
    </w:p>
    <w:bookmarkEnd w:id="84"/>
    <w:bookmarkEnd w:id="85"/>
    <w:bookmarkStart w:id="86" w:name="comparison"/>
    <w:p>
      <w:pPr>
        <w:pStyle w:val="Heading2"/>
      </w:pPr>
      <w:r>
        <w:t xml:space="preserve">Comparison</w:t>
      </w:r>
    </w:p>
    <w:bookmarkEnd w:id="86"/>
    <w:bookmarkEnd w:id="87"/>
    <w:bookmarkStart w:id="90" w:name="conclusion"/>
    <w:p>
      <w:pPr>
        <w:pStyle w:val="Heading1"/>
      </w:pPr>
      <w:r>
        <w:t xml:space="preserve">Conclusion</w:t>
      </w:r>
    </w:p>
    <w:bookmarkStart w:id="88" w:name="summary"/>
    <w:p>
      <w:pPr>
        <w:pStyle w:val="Heading2"/>
      </w:pPr>
      <w:r>
        <w:t xml:space="preserve">Summary</w:t>
      </w:r>
    </w:p>
    <w:bookmarkEnd w:id="88"/>
    <w:bookmarkStart w:id="89" w:name="challenges-and-potential-improvements"/>
    <w:p>
      <w:pPr>
        <w:pStyle w:val="Heading2"/>
      </w:pPr>
      <w:r>
        <w:t xml:space="preserve">Challenges and potential improvements</w:t>
      </w:r>
    </w:p>
    <w:bookmarkEnd w:id="89"/>
    <w:bookmarkEnd w:id="90"/>
    <w:bookmarkStart w:id="91" w:name="self-reflection"/>
    <w:p>
      <w:pPr>
        <w:pStyle w:val="Heading1"/>
      </w:pPr>
      <w:r>
        <w:t xml:space="preserve">Self reflection</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21" Target="media/rId21.png"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77" Target="media/rId77.png" /><Relationship Type="http://schemas.openxmlformats.org/officeDocument/2006/relationships/image" Id="rId44" Target="media/rId44.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74" Target="media/rId74.png" /><Relationship Type="http://schemas.openxmlformats.org/officeDocument/2006/relationships/image" Id="rId81" Target="media/rId81.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 Project - Credit Risk Analysis</dc:title>
  <dc:creator>An Do, Nam Bui, Ayush Pradhan</dc:creator>
  <cp:keywords/>
  <dcterms:created xsi:type="dcterms:W3CDTF">2025-11-30T20:43:53Z</dcterms:created>
  <dcterms:modified xsi:type="dcterms:W3CDTF">2025-11-30T20:43:53Z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2025</vt:lpwstr>
  </property>
  <property fmtid="{D5CDD505-2E9C-101B-9397-08002B2CF9AE}" pid="3" name="output">
    <vt:lpwstr/>
  </property>
</Properties>
</file>