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bvolovelsky@nvidia.com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1. In-domain F1, false-positive rate, and D2-&gt;D1 transfer F1 for the five detectors and the character n-gram baseline on both datasets.</w:t>
      </w:r>
    </w:p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2. Telemetry and feature mapping for three T1059.004-adjacent sub-techniques: shell-log signature, capturing source, engineered features, and whether provenance labelling detects them.</w:t>
      </w:r>
    </w:p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3. Feature-and-model extraction matrix comparing Trizna's SLP work with this project across six dimensions.</w:t>
      </w:r>
    </w:p>
    <w:p>
      <w:pPr>
        <w:pStyle w:val="Heading2"/>
        <w:spacing w:before="120" w:after="80" w:lineRule="auto" w:line="276"/>
      </w:pPr>
      <w:r>
        <w:t>Comparative analytical essay: two papers, and what we adopt</w:t>
      </w:r>
    </w:p>
    <w:p>
      <w:pPr>
        <w:spacing w:before="0" w:after="120" w:lineRule="auto" w:line="360"/>
      </w:pPr>
      <w:r>
        <w:t xml:space="preserve">Our two peer-reviewed anchors are </w:t>
      </w:r>
      <w:r>
        <w:rPr>
          <w:b/>
        </w:rPr>
        <w:t>Trizna's SLP work</w:t>
      </w:r>
      <w:r>
        <w:t xml:space="preserve"> (the "TOPS" line — char- and token-level ML on Linux command telemetry, summarised feature-by-feature in the matrix above) and </w:t>
      </w:r>
      <w:r>
        <w:rPr>
          <w:b/>
        </w:rPr>
        <w:t>ShellCore</w:t>
      </w:r>
      <w:r>
        <w:t xml:space="preserve"> (IEEE Internet of Things Journal, 2022), which detects malicious shell commands with a purely </w:t>
      </w:r>
      <w:r>
        <w:rPr>
          <w:b/>
        </w:rPr>
        <w:t>character-level</w:t>
      </w:r>
      <w:r>
        <w:t xml:space="preserve"> representation: character n-gram TF-IDF over the raw command string fed to logistic regression / random forest, with no hand-engineered features.</w:t>
      </w:r>
    </w:p>
    <w:p>
      <w:pPr>
        <w:spacing w:before="0" w:after="120" w:lineRule="auto" w:line="360"/>
      </w:pPr>
      <w:r>
        <w:rPr>
          <w:b/>
        </w:rPr>
        <w:t>Semantic meaning the authors assign.</w:t>
      </w:r>
      <w:r>
        <w:t xml:space="preserve"> Both treat the command </w:t>
      </w:r>
      <w:r>
        <w:rPr>
          <w:i/>
        </w:rPr>
        <w:t>string</w:t>
      </w:r>
      <w:r>
        <w:t xml:space="preserve"> as the unit of meaning but locate the signal differently. Trizna engineers token- and structure-level features (lengths, counts, binary families) as behavioural proxies; ShellCore argues the discriminative signal lives at the </w:t>
      </w:r>
      <w:r>
        <w:rPr>
          <w:b/>
        </w:rPr>
        <w:t>sub-token character level</w:t>
      </w:r>
      <w:r>
        <w:t xml:space="preserve"> — the obfuscation, encoding and packed payloads that whole-token features miss. ShellCore's malware-only ablation is the decisive evidence: term-level accuracy collapses 99.08 → 67.48 while the character-level model holds 99.91 → 99.79.</w:t>
      </w:r>
    </w:p>
    <w:p>
      <w:pPr>
        <w:spacing w:before="0" w:after="120" w:lineRule="auto" w:line="360"/>
      </w:pPr>
      <w:r>
        <w:rPr>
          <w:b/>
        </w:rPr>
        <w:t>Contrast, and adopt / modify / reject.</w:t>
      </w:r>
      <w:r>
        <w:t xml:space="preserve"> Trizna is interpretable but token-bound; ShellCore is representation-robust but opaque. For our pipeline we </w:t>
      </w:r>
      <w:r>
        <w:rPr>
          <w:b/>
        </w:rPr>
        <w:t>adopt</w:t>
      </w:r>
      <w:r>
        <w:t xml:space="preserve"> ShellCore's char-level insight — a bounded char n-gram TF-IDF block unioned into the hybrid model lifts F1 from ~0.76 to ~0.87; we </w:t>
      </w:r>
      <w:r>
        <w:rPr>
          <w:b/>
        </w:rPr>
        <w:t>modify</w:t>
      </w:r>
      <w:r>
        <w:t xml:space="preserve"> their unbounded representation into fixed, threat-mapped feature lists plus in-fold-only n-grams to prevent leakage, and we keep Trizna's behavioural intuition as the 43 engineered features; we </w:t>
      </w:r>
      <w:r>
        <w:rPr>
          <w:b/>
        </w:rPr>
        <w:t>reject</w:t>
      </w:r>
      <w:r>
        <w:t xml:space="preserve"> ShellCore's PCA step (opaque for a threat-traceability report) and its ungrouped evaluation protocol, where near-duplicates straddle train/test — our shape-grouped split is stricter and costs several F1 points. The upshot, confirmed in Ch8.3: the engineered features earn their place on interpretability and threat-traceability, while an untuned char n-gram baseline — vindicating ShellCore's thesis — still out-scores every engineered model on raw discriminative power.</w:t>
      </w:r>
    </w:p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4. Per-feature benign vs. attack variance and variance gap on Dataset 1, ranked by gap.</w:t>
      </w:r>
    </w:p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the splits it participates in — a direct measure of the discriminative signal the model leans on, not merely how often a feature appears. </w:t>
      </w:r>
      <w:r>
        <w:rPr>
          <w:rFonts w:ascii="Courier New" w:hAnsi="Courier New"/>
          <w:sz w:val="18"/>
        </w:rPr>
        <w:t>report/figures/ch4_feature_importance_dataset1.png</w:t>
      </w:r>
      <w:r>
        <w:t xml:space="preserve"> ranks the top-20 engineered features for Dataset 1; the leaders and their MITRE ATT&amp;CK mappings are summarised below (full RF-MDI, XGBoost-gain and permutation scores in </w:t>
      </w:r>
      <w:r>
        <w:rPr>
          <w:rFonts w:ascii="Courier New" w:hAnsi="Courier New"/>
          <w:sz w:val="18"/>
        </w:rPr>
        <w:t>report/ch4_feature_ranking.csv</w:t>
      </w:r>
      <w:r>
        <w:t>).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XGB 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0.181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absolute-path tokens (</w:t>
            </w:r>
            <w:r>
              <w:rPr>
                <w:rFonts w:ascii="Courier New" w:hAnsi="Courier New"/>
                <w:sz w:val="17"/>
              </w:rPr>
              <w:t>/etc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/proc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, …)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/ Collection → filesystem targeting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has_dev_null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0.111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Output suppression via </w:t>
            </w:r>
            <w:r>
              <w:rPr>
                <w:rFonts w:ascii="Courier New" w:hAnsi="Courier New"/>
                <w:sz w:val="17"/>
              </w:rPr>
              <w:t>&gt;/dev/null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Defense Evasion → output/indicator suppression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has_shell_bin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0.097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 shell interpreter is named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head_is_lotl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command head </w:t>
            </w:r>
            <w:r>
              <w:rPr>
                <w:i/>
                <w:sz w:val="17"/>
              </w:rPr>
              <w:t>is</w:t>
            </w:r>
            <w:r>
              <w:rPr>
                <w:sz w:val="17"/>
              </w:rPr>
              <w:t xml:space="preserve"> a GTFOBins/LotL binary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→ LotL abuse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has_interp_bin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An interpreter is named (</w:t>
            </w:r>
            <w:r>
              <w:rPr>
                <w:rFonts w:ascii="Courier New" w:hAnsi="Courier New"/>
                <w:sz w:val="17"/>
              </w:rPr>
              <w:t>python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ruby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&amp; Scripting Interpreter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5. Top five Dataset 1 features by XGBoost gain, with what each measures and its MITRE ATT&amp;CK mapping.</w:t>
      </w:r>
    </w:p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n_abs_paths</w:t>
      </w:r>
      <w:r>
        <w:t xml:space="preserve"> alone (0.181) outweighs the next two features combined, and the top three carry the bulk of the ranked importance before the curve flattens into a long tail of near-equal features. The model is not spreading confidence evenly; it bets heavily on a few dominant cues — where a command reaches in the filesystem, whether it suppresses its own output, and whether it invokes an explicit interpreter.</w:t>
      </w:r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6. Covariate-shift probe: ROC-AUC of a classifier trained to separate Dataset 1 from Dataset 2 rows using the 43 features alone.</w:t>
      </w:r>
    </w:p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pPr>
        <w:pStyle w:val="Heading1"/>
        <w:spacing w:before="200" w:after="80" w:lineRule="auto" w:line="276"/>
      </w:pPr>
      <w:r>
        <w:t>Chapter 6 — Model Selection Justification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0.876 / ROC-AUC 0.979</w:t>
      </w:r>
      <w:r>
        <w:t xml:space="preserve"> on Dataset 1 and </w:t>
      </w:r>
      <w:r>
        <w:rPr>
          <w:b/>
        </w:rPr>
        <w:t>0.848 / 0.968</w:t>
      </w:r>
      <w:r>
        <w:t xml:space="preserve"> on Dataset 2, while the CNN reaches </w:t>
      </w:r>
      <w:r>
        <w:rPr>
          <w:b/>
        </w:rPr>
        <w:t>0.860 / 0.975</w:t>
      </w:r>
      <w:r>
        <w:t xml:space="preserve"> and </w:t>
      </w:r>
      <w:r>
        <w:rPr>
          <w:b/>
        </w:rPr>
        <w:t>0.838 / 0.964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n_abs_paths</w:t>
      </w:r>
      <w:r>
        <w:t xml:space="preserve"> 0.181, </w:t>
      </w:r>
      <w:r>
        <w:rPr>
          <w:rFonts w:ascii="Courier New" w:hAnsi="Courier New"/>
          <w:sz w:val="18"/>
        </w:rPr>
        <w:t>has_dev_null</w:t>
      </w:r>
      <w:r>
        <w:t xml:space="preserve"> 0.111, </w:t>
      </w:r>
      <w:r>
        <w:rPr>
          <w:rFonts w:ascii="Courier New" w:hAnsi="Courier New"/>
          <w:sz w:val="18"/>
        </w:rPr>
        <w:t>has_shell_bin</w:t>
      </w:r>
      <w:r>
        <w:t xml:space="preserve"> 0.097)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len_chars</w:t>
      </w:r>
      <w:r>
        <w:t>), and binary flags (</w:t>
      </w:r>
      <w:r>
        <w:rPr>
          <w:rFonts w:ascii="Courier New" w:hAnsi="Courier New"/>
          <w:sz w:val="18"/>
        </w:rPr>
        <w:t>has_shell_bin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len_chars</w:t>
      </w:r>
      <w:r>
        <w:t xml:space="preserve">, </w:t>
      </w:r>
      <w:r>
        <w:rPr>
          <w:rFonts w:ascii="Courier New" w:hAnsi="Courier New"/>
          <w:sz w:val="18"/>
        </w:rPr>
        <w:t>max_token_len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pPr>
        <w:pStyle w:val="Heading2"/>
        <w:spacing w:before="120" w:after="80" w:lineRule="auto" w:line="276"/>
      </w:pPr>
      <w:r>
        <w:t>Random Forest and Isolation Forest (models 3 and 4)</w:t>
      </w:r>
    </w:p>
    <w:p>
      <w:pPr>
        <w:spacing w:before="0" w:after="120" w:lineRule="auto" w:line="360"/>
      </w:pPr>
      <w:r>
        <w:rPr>
          <w:b/>
        </w:rPr>
        <w:t>Random Forest — traditional supervised (bagged trees).</w:t>
      </w:r>
      <w:r>
        <w:t xml:space="preserve"> Chosen for no-extrapolation robustness to the heavy right tails of the count features: an ensemble of axis-aligned splits cannot be dragged by a single 400-token outlier the way a linear model is, and it needs no scaling (Ch5.3 measures the scaler as a near-no-op for it). Its Gini importance independently reproduces the Ch4 rank-biserial top features — an internal cross-check that the signal is real, not one estimator's artefact — and importance mass spreads across all 43 features rather than one shortcut, which is anti-shortcut evidence. Production: </w:t>
      </w:r>
      <w:r>
        <w:rPr>
          <w:rFonts w:ascii="Courier New" w:hAnsi="Courier New"/>
          <w:sz w:val="18"/>
        </w:rPr>
        <w:t>n_estimators=400</w:t>
      </w:r>
      <w:r>
        <w:t xml:space="preserve">, </w:t>
      </w:r>
      <w:r>
        <w:rPr>
          <w:rFonts w:ascii="Courier New" w:hAnsi="Courier New"/>
          <w:sz w:val="18"/>
        </w:rPr>
        <w:t>max_depth=24</w:t>
      </w:r>
      <w:r>
        <w:t xml:space="preserve">, </w:t>
      </w:r>
      <w:r>
        <w:rPr>
          <w:rFonts w:ascii="Courier New" w:hAnsi="Courier New"/>
          <w:sz w:val="18"/>
        </w:rPr>
        <w:t>class_weight="balanced_subsample"</w:t>
      </w:r>
      <w:r>
        <w:t xml:space="preserve">, </w:t>
      </w:r>
      <w:r>
        <w:rPr>
          <w:rFonts w:ascii="Courier New" w:hAnsi="Courier New"/>
          <w:sz w:val="18"/>
        </w:rPr>
        <w:t>max_features="sqrt"</w:t>
      </w:r>
      <w:r>
        <w:t xml:space="preserve">. </w:t>
      </w:r>
      <w:r>
        <w:rPr>
          <w:i/>
        </w:rPr>
        <w:t>Cite:</w:t>
      </w:r>
      <w:r>
        <w:t xml:space="preserve"> Breiman (2001), </w:t>
      </w:r>
      <w:r>
        <w:rPr>
          <w:i/>
        </w:rPr>
        <w:t>Random Forests</w:t>
      </w:r>
      <w:r>
        <w:t>; the char-level RF result on shell commands in ShellCore (IEEE IoT J., 2022).</w:t>
      </w:r>
    </w:p>
    <w:p>
      <w:pPr>
        <w:spacing w:before="0" w:after="120" w:lineRule="auto" w:line="360"/>
      </w:pPr>
      <w:r>
        <w:rPr>
          <w:b/>
        </w:rPr>
        <w:t>Isolation Forest — unsupervised / anomaly detection.</w:t>
      </w:r>
      <w:r>
        <w:t xml:space="preserve"> Chosen as the label-free, cold-start detector and the cascade's fast stage-1 filter: it isolates anomalies in a handful of random splits, so it scales linearly and needs no attack labels — the one measurement of how far pure statistical strangeness carries before supervision is required. It is honestly weak at a fixed 0.5 threshold (F1 0.249 / 0.143) but ranks soundly (ROC-AUC 0.812 / 0.677), so Ch7 and Ch8.4 consume its </w:t>
      </w:r>
      <w:r>
        <w:rPr>
          <w:i/>
        </w:rPr>
        <w:t>ranking</w:t>
      </w:r>
      <w:r>
        <w:t xml:space="preserve">, not its raw decision. Production: </w:t>
      </w:r>
      <w:r>
        <w:rPr>
          <w:rFonts w:ascii="Courier New" w:hAnsi="Courier New"/>
          <w:sz w:val="18"/>
        </w:rPr>
        <w:t>n_estimators=300</w:t>
      </w:r>
      <w:r>
        <w:t xml:space="preserve">, </w:t>
      </w:r>
      <w:r>
        <w:rPr>
          <w:rFonts w:ascii="Courier New" w:hAnsi="Courier New"/>
          <w:sz w:val="18"/>
        </w:rPr>
        <w:t>max_samples=0.8</w:t>
      </w:r>
      <w:r>
        <w:t xml:space="preserve">, </w:t>
      </w:r>
      <w:r>
        <w:rPr>
          <w:rFonts w:ascii="Courier New" w:hAnsi="Courier New"/>
          <w:sz w:val="18"/>
        </w:rPr>
        <w:t>contamination=0.25</w:t>
      </w:r>
      <w:r>
        <w:t xml:space="preserve">. </w:t>
      </w:r>
      <w:r>
        <w:rPr>
          <w:i/>
        </w:rPr>
        <w:t>Cite:</w:t>
      </w:r>
      <w:r>
        <w:t xml:space="preserve"> Liu, Ting &amp; Zhou (2008 / 2012), </w:t>
      </w:r>
      <w:r>
        <w:rPr>
          <w:i/>
        </w:rPr>
        <w:t>Isolation Forest / Isolation-based Anomaly Detection</w:t>
      </w:r>
      <w:r>
        <w:t>.</w:t>
      </w:r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pPr>
        <w:pStyle w:val="Heading2"/>
        <w:spacing w:before="120" w:after="80" w:lineRule="auto" w:line="276"/>
      </w:pPr>
      <w:r>
        <w:t>7.2 Class-imbalance strategy and leakage control</w:t>
      </w:r>
    </w:p>
    <w:p>
      <w:pPr>
        <w:spacing w:before="0" w:after="120" w:lineRule="auto" w:line="360"/>
      </w:pPr>
      <w:r>
        <w:t xml:space="preserve">Both corpora are deliberately imbalanced at 1 attack : 3 benign (25% positive), so a detector that flags everything scores only F1 = 0.400 — the do-nothing floor every result is measured against. The pipeline counters this </w:t>
      </w:r>
      <w:r>
        <w:rPr>
          <w:b/>
        </w:rPr>
        <w:t>cost-sensitively rather than by resampling</w:t>
      </w:r>
      <w:r>
        <w:t>, applied identically across models: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XGBoost / XGBoost-hybrid</w:t>
      </w:r>
      <w:r>
        <w:t xml:space="preserve"> — </w:t>
      </w:r>
      <w:r>
        <w:rPr>
          <w:rFonts w:ascii="Courier New" w:hAnsi="Courier New"/>
          <w:sz w:val="18"/>
        </w:rPr>
        <w:t>scale_pos_weight</w:t>
      </w:r>
      <w:r>
        <w:t xml:space="preserve"> = train-fold negative/positive ratio, so a missed attack costs the loss as much as three false alarms.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Random Forest</w:t>
      </w:r>
      <w:r>
        <w:t xml:space="preserve"> — </w:t>
      </w:r>
      <w:r>
        <w:rPr>
          <w:rFonts w:ascii="Courier New" w:hAnsi="Courier New"/>
          <w:sz w:val="18"/>
        </w:rPr>
        <w:t>class_weight="balanced_subsample"</w:t>
      </w:r>
      <w:r>
        <w:t>, re-weighting the Gini split criterion per bootstrap.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1D-CNN</w:t>
      </w:r>
      <w:r>
        <w:t xml:space="preserve"> — class-weighted cross-entropy at the same ratio.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Isolation Forest</w:t>
      </w:r>
      <w:r>
        <w:t xml:space="preserve"> — fit on benign rows only, so class prior does not apply; its operating point is set by </w:t>
      </w:r>
      <w:r>
        <w:rPr>
          <w:rFonts w:ascii="Courier New" w:hAnsi="Courier New"/>
          <w:sz w:val="18"/>
        </w:rPr>
        <w:t>stage1_retain_recall</w:t>
      </w:r>
      <w:r>
        <w:t>, not by resampling.</w:t>
      </w:r>
    </w:p>
    <w:p>
      <w:pPr>
        <w:spacing w:before="0" w:after="120" w:lineRule="auto" w:line="360"/>
      </w:pPr>
      <w:r>
        <w:t xml:space="preserve">Cost-sensitive weighting is preferred over SMOTE because the positive class is </w:t>
      </w:r>
      <w:r>
        <w:rPr>
          <w:i/>
        </w:rPr>
        <w:t>semantically diverse</w:t>
      </w:r>
      <w:r>
        <w:t xml:space="preserve"> (reverse shells, download cradles, enumeration bursts), not merely under-sampled noise — synthesising interpolated "average attacks" would blur the very feature conjunctions the models depend on. The pipeline stays SMOTE-ready: any sampler lives inside an </w:t>
      </w:r>
      <w:r>
        <w:rPr>
          <w:rFonts w:ascii="Courier New" w:hAnsi="Courier New"/>
          <w:sz w:val="18"/>
        </w:rPr>
        <w:t>imbalanced-learn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, fit </w:t>
      </w:r>
      <w:r>
        <w:rPr>
          <w:b/>
        </w:rPr>
        <w:t>on the training fold only</w:t>
      </w:r>
      <w:r>
        <w:t xml:space="preserve"> within each CV split and never on the test fold — the same leakage-safe contract that governs the scaler (Chapter 5.3).</w:t>
      </w:r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7. Cross-dataset performance of all five models (in-domain and both transfer directions) across Accuracy, Precision, Recall/DR, FPR, F1, and ROC-AUC.</w:t>
      </w:r>
    </w:p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8. Error-profile comparison of failure modes: a Trizna-style anomaly detector vs. our XGBoost-hybrid and 1D-CNN.</w:t>
      </w:r>
    </w:p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9. Dataset 1 - cascade configurations vs. the single best model: F1, precision, recall, FPR, and confusion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10. Dataset 2 - cascade configurations vs. the single best model: F1, precision, recall, FPR, and confusion counts.</w:t>
      </w:r>
    </w:p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11. Local Llama-3.1-8B arbitration on high-uncertainty edge cases: accuracy, agreement with the model vote, mean latency, and call count per dataset.</w:t>
      </w:r>
    </w:p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12. Software frameworks and versions used across the pipeline.</w:t>
      </w:r>
    </w:p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