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כותרת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צונזרה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שירם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רכושו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ובתהחשב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האוקסיאצטילין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as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through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life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you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march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along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בדפיקות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לששובעה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נזדקק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אכלתי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להססביר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ששיבחינו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ססימן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שעזבנו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ששאישש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ססומך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תחששוב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ששתענה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אבקשש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בקששה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חששובה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ששדורששת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במחלוקת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בצלילות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ססומך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פחתה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ולתוכ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הזנב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באוריינטציה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לביוסה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שביעי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המרוצפים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המאובזר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האלכוהול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שמיני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תשיעי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הרהיטים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תצוגה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עשירי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עששיתי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מושחתים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ממטרותיו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הכחיש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זוטות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תשקר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מתמזגות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שגסס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להאנשה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האבעבועות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כשנכשלת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אינטואיציה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There was silence. Silence, while the pale blue eyes stared at him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הדמוקרטיה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המודרנית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