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סטנפורד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מכתימות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וטמפרטורה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בצרידות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גיהנום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גיהנום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לפנטזיית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הנוצרית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צבוע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מתייפיפות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ומדמיינים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הקלאסי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rtl w:val="1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נתעבים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בדמוקרטיה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הפואטיקה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לחורבנם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שגובש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שלמרגלותיו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לאכזריות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האכפתיות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כנותו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שציפורניו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שהדמוקרטיה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אוכלוסיית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החדגוני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בשעשוע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ישכנעו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האינסטינקטים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לסיבותיי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לזומבי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שבמהלכה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להרתיח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מטעויותיה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מוגזמת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מבוזבזת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אלטרואיסטי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Who knows but that You-Know-Who would say the same."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טרסקי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גנדלין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מושמד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שנרצחת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יירתעו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למסגר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התמודדות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וואקום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וחייבים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הבערות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בסיטואציה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שהסיטואציה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למנוע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ועגמומי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שפיענחתי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התקמטו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פרדוקס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