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סטנפורד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לזיהוי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שצייתה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סחטו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סמרטוט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ייפסק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היבהבה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להשמידם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בנפשו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וברצונו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אסור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ומתעמעם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ומתעמעם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בקסרקטין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לכלכל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שיאוגואנג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-5,366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-5,300.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ושביעיות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מתצפיתה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וכוונותיך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תזוזי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מציפורנו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שהשליכו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למייק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קה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נחסמה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האינטסטינקטים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!)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היטשטשה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ההתנשפויות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מלנהום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גודלו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לתגבורת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