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5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3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4" w:date="2017-04-27T10:00:28Z">
        <w:del w:author="arbel burstain" w:id="3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6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6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7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