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2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2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3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4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5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7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8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8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3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3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2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