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קוגניציה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אילוצים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המאולצות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שליליות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מצונזר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אלגוריתם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מטומטם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מטומטם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לסקרימג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ולשאקלבולט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ההיעדרויות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יישאו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אובייקטים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הייחודי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ציפיות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פסאודו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ופיזית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שבצורתך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ושימי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הפסיכיאטרי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האימתנית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בגורלו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הקסדה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שתיאלצי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 rather close shave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סוקראטית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פרימיטיביים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