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0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1" w:date="2020-08-02T11:44:51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2" w:date="2020-08-03T15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3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44" w:date="2020-06-24T22:42:38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44" w:date="2020-06-24T22:42:3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5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46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הלל צרי" w:id="47" w:date="2017-11-26T20:05:06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  <w:rPrChange w:author="הלל צרי" w:id="47" w:date="2017-11-26T20:05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48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49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50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50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51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52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52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53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53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5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55" w:date="2018-08-17T14:02:20Z">
        <w:del w:author="הלל צרי" w:id="56" w:date="2018-10-14T16:20:46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7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57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1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9" w:date="2019-01-29T08:49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ידידיה שיר" w:id="8" w:date="2020-08-03T08:10:4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2" w:date="2016-06-14T18:06:4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3" w:date="2016-06-14T18:06:3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4" w:date="2020-08-02T11:46:45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" w:date="2020-08-02T11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שירה יניר" w:id="17" w:date="2019-10-10T19:11:0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6" w:date="2020-06-24T22:42:5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0" w:date="2018-10-08T11:38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5" w:date="2018-10-30T13:50:0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