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אומץ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נשארות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מהתנצלויות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מהכבידה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התעקשתי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מרופטות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הבלעדית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שדאגתו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כשנולדת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משולשת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</w:t>
      </w:r>
      <w:r w:rsidDel="00000000" w:rsidR="00000000" w:rsidRPr="00000000">
        <w:rPr>
          <w:rFonts w:ascii="Alef" w:cs="Alef" w:eastAsia="Alef" w:hAnsi="Alef"/>
          <w:rtl w:val="1"/>
        </w:rPr>
        <w:t xml:space="preserve">?"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פיט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בכשרונותיו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